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D5ACF" w14:textId="64AAE4B5" w:rsidR="00CC4D26" w:rsidRDefault="00CC4D26" w:rsidP="00CC4D26">
      <w:pPr>
        <w:pStyle w:val="CRCoverPage"/>
        <w:outlineLvl w:val="0"/>
        <w:rPr>
          <w:b/>
          <w:noProof/>
          <w:sz w:val="24"/>
        </w:rPr>
      </w:pPr>
      <w:r>
        <w:rPr>
          <w:b/>
          <w:noProof/>
          <w:sz w:val="24"/>
        </w:rPr>
        <w:t>3GPP TSG RAN WG1 #10</w:t>
      </w:r>
      <w:r w:rsidR="00205DF6">
        <w:rPr>
          <w:b/>
          <w:noProof/>
          <w:sz w:val="24"/>
        </w:rPr>
        <w:t>9</w:t>
      </w:r>
      <w:r>
        <w:rPr>
          <w:b/>
          <w:noProof/>
          <w:sz w:val="24"/>
        </w:rPr>
        <w:t>-e</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1F5658" w:rsidRPr="001F5658">
        <w:rPr>
          <w:b/>
          <w:noProof/>
          <w:sz w:val="24"/>
        </w:rPr>
        <w:t>R1-2205010</w:t>
      </w:r>
    </w:p>
    <w:p w14:paraId="0A0864C9" w14:textId="77777777" w:rsidR="00205DF6" w:rsidRDefault="00205DF6" w:rsidP="00205DF6">
      <w:pPr>
        <w:pStyle w:val="CRCoverPage"/>
        <w:outlineLvl w:val="0"/>
        <w:rPr>
          <w:b/>
          <w:noProof/>
          <w:sz w:val="24"/>
        </w:rPr>
      </w:pPr>
      <w:r>
        <w:rPr>
          <w:b/>
          <w:noProof/>
          <w:sz w:val="24"/>
        </w:rPr>
        <w:t>e-Meeting, May 09</w:t>
      </w:r>
      <w:r>
        <w:rPr>
          <w:b/>
          <w:noProof/>
          <w:sz w:val="24"/>
          <w:vertAlign w:val="superscript"/>
        </w:rPr>
        <w:t>th</w:t>
      </w:r>
      <w:r>
        <w:rPr>
          <w:b/>
          <w:noProof/>
          <w:sz w:val="24"/>
        </w:rPr>
        <w:t xml:space="preserve"> – May 20</w:t>
      </w:r>
      <w:r>
        <w:rPr>
          <w:b/>
          <w:noProof/>
          <w:sz w:val="24"/>
          <w:vertAlign w:val="superscript"/>
        </w:rPr>
        <w:t>th</w:t>
      </w:r>
      <w:r>
        <w:rPr>
          <w:b/>
          <w:noProof/>
          <w:sz w:val="24"/>
        </w:rPr>
        <w:t>, 2022</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3182D093"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C0511A">
        <w:rPr>
          <w:rFonts w:ascii="Arial" w:hAnsi="Arial"/>
          <w:sz w:val="24"/>
        </w:rPr>
        <w:t>8.1</w:t>
      </w:r>
      <w:r w:rsidR="00DC6CBC">
        <w:rPr>
          <w:rFonts w:ascii="Arial" w:hAnsi="Arial"/>
          <w:sz w:val="24"/>
        </w:rPr>
        <w:t>6</w:t>
      </w:r>
      <w:r w:rsidR="00C0511A">
        <w:rPr>
          <w:rFonts w:ascii="Arial" w:hAnsi="Arial"/>
          <w:sz w:val="24"/>
        </w:rPr>
        <w:t>.14</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549F16F4"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C0511A" w:rsidRPr="00C0511A">
        <w:rPr>
          <w:rFonts w:ascii="Arial" w:hAnsi="Arial"/>
          <w:sz w:val="24"/>
        </w:rPr>
        <w:t>UE features for IoT over NTN</w:t>
      </w:r>
    </w:p>
    <w:p w14:paraId="412B4E4E" w14:textId="75646A95" w:rsidR="00B32506" w:rsidRDefault="00620296" w:rsidP="008208F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21C61593" w14:textId="77777777" w:rsidR="003009A5" w:rsidRDefault="003009A5" w:rsidP="003009A5">
      <w:pPr>
        <w:tabs>
          <w:tab w:val="left" w:pos="1985"/>
        </w:tabs>
        <w:ind w:right="-441"/>
        <w:jc w:val="both"/>
        <w:rPr>
          <w:rFonts w:ascii="Arial" w:hAnsi="Arial"/>
          <w:sz w:val="24"/>
        </w:rPr>
      </w:pPr>
    </w:p>
    <w:p w14:paraId="47367EA5" w14:textId="334739D4" w:rsidR="003009A5" w:rsidRDefault="000F7431" w:rsidP="003009A5">
      <w:pPr>
        <w:pStyle w:val="Heading1"/>
        <w:numPr>
          <w:ilvl w:val="0"/>
          <w:numId w:val="1"/>
        </w:numPr>
        <w:tabs>
          <w:tab w:val="clear" w:pos="1140"/>
          <w:tab w:val="num" w:pos="720"/>
        </w:tabs>
        <w:ind w:left="720" w:hanging="720"/>
        <w:jc w:val="both"/>
      </w:pPr>
      <w:r>
        <w:t>Introduction</w:t>
      </w:r>
    </w:p>
    <w:p w14:paraId="00009C48" w14:textId="086964E8" w:rsidR="00DA3BF2" w:rsidRDefault="00E179BC" w:rsidP="00E31BC4">
      <w:r>
        <w:t xml:space="preserve">In this contribution, we provide </w:t>
      </w:r>
      <w:r w:rsidR="0075535C">
        <w:t xml:space="preserve">our </w:t>
      </w:r>
      <w:r w:rsidR="00CD637C">
        <w:t>proposals</w:t>
      </w:r>
      <w:r w:rsidR="0075535C">
        <w:t xml:space="preserve"> </w:t>
      </w:r>
      <w:r w:rsidR="00DE1F14">
        <w:t>on</w:t>
      </w:r>
      <w:r w:rsidR="00C33EA5">
        <w:t xml:space="preserve"> unresolved</w:t>
      </w:r>
      <w:r w:rsidR="00DE1F14">
        <w:t xml:space="preserve"> aspects, with a goal </w:t>
      </w:r>
      <w:r w:rsidR="0075535C">
        <w:t xml:space="preserve">towards further refining the agreed </w:t>
      </w:r>
      <w:r w:rsidR="00510555">
        <w:t>table</w:t>
      </w:r>
      <w:r w:rsidR="00EE11E6">
        <w:t xml:space="preserve"> entries</w:t>
      </w:r>
      <w:r>
        <w:t>.</w:t>
      </w:r>
    </w:p>
    <w:p w14:paraId="6DF52465" w14:textId="77777777" w:rsidR="00C44D15" w:rsidRDefault="00C44D15" w:rsidP="00C44D15">
      <w:pPr>
        <w:pStyle w:val="Heading1"/>
        <w:numPr>
          <w:ilvl w:val="0"/>
          <w:numId w:val="1"/>
        </w:numPr>
        <w:tabs>
          <w:tab w:val="clear" w:pos="1140"/>
          <w:tab w:val="num" w:pos="720"/>
        </w:tabs>
        <w:ind w:left="720" w:hanging="720"/>
        <w:jc w:val="both"/>
      </w:pPr>
      <w:r>
        <w:t>Capability type</w:t>
      </w:r>
    </w:p>
    <w:p w14:paraId="708238B0" w14:textId="77777777" w:rsidR="00C44D15" w:rsidRPr="00D4198A" w:rsidRDefault="00C44D15" w:rsidP="00C44D15">
      <w:pPr>
        <w:rPr>
          <w:lang w:val="en-US"/>
        </w:rPr>
      </w:pPr>
      <w:r>
        <w:t>To motivate our viewpoint, let’s consider two types of “bands”:</w:t>
      </w:r>
    </w:p>
    <w:p w14:paraId="4EC5BDD5" w14:textId="77777777" w:rsidR="00C44D15" w:rsidRDefault="00C44D15" w:rsidP="00C44D15">
      <w:pPr>
        <w:pStyle w:val="ListParagraph"/>
        <w:numPr>
          <w:ilvl w:val="0"/>
          <w:numId w:val="46"/>
        </w:numPr>
        <w:overflowPunct/>
        <w:autoSpaceDE/>
        <w:autoSpaceDN/>
        <w:adjustRightInd/>
        <w:spacing w:before="60" w:after="120"/>
        <w:jc w:val="both"/>
        <w:textAlignment w:val="auto"/>
        <w:rPr>
          <w:rFonts w:ascii="Calibri" w:hAnsi="Calibri" w:cs="Calibri"/>
        </w:rPr>
      </w:pPr>
      <w:r>
        <w:rPr>
          <w:rFonts w:ascii="Calibri" w:hAnsi="Calibri" w:cs="Calibri"/>
        </w:rPr>
        <w:t>Type 1: The band (i.e., the band number) is “exclusively” an NTN-IoT /NTN-</w:t>
      </w:r>
      <w:proofErr w:type="spellStart"/>
      <w:r>
        <w:rPr>
          <w:rFonts w:ascii="Calibri" w:hAnsi="Calibri" w:cs="Calibri"/>
        </w:rPr>
        <w:t>eMTC</w:t>
      </w:r>
      <w:proofErr w:type="spellEnd"/>
      <w:r>
        <w:rPr>
          <w:rFonts w:ascii="Calibri" w:hAnsi="Calibri" w:cs="Calibri"/>
        </w:rPr>
        <w:t xml:space="preserve"> band</w:t>
      </w:r>
    </w:p>
    <w:p w14:paraId="13108500" w14:textId="77777777" w:rsidR="00C44D15" w:rsidRPr="00D4198A" w:rsidRDefault="00C44D15" w:rsidP="00C44D15">
      <w:pPr>
        <w:pStyle w:val="ListParagraph"/>
        <w:numPr>
          <w:ilvl w:val="0"/>
          <w:numId w:val="46"/>
        </w:numPr>
        <w:overflowPunct/>
        <w:autoSpaceDE/>
        <w:autoSpaceDN/>
        <w:adjustRightInd/>
        <w:spacing w:before="60" w:after="120"/>
        <w:jc w:val="both"/>
        <w:textAlignment w:val="auto"/>
        <w:rPr>
          <w:rFonts w:ascii="Calibri" w:hAnsi="Calibri" w:cs="Calibri"/>
        </w:rPr>
      </w:pPr>
      <w:r>
        <w:rPr>
          <w:rFonts w:ascii="Calibri" w:hAnsi="Calibri" w:cs="Calibri"/>
        </w:rPr>
        <w:t>Type 2: The band can be used both for NTN and some other purpose, e.g., TN (potentially, also in the future)</w:t>
      </w:r>
    </w:p>
    <w:p w14:paraId="7BCB04B2" w14:textId="24923386" w:rsidR="00C44D15" w:rsidRDefault="00C44D15" w:rsidP="00C44D15">
      <w:r>
        <w:t>A “per UE” capability would force a UE that doesn’t want to support NTN in a “Type 2” band (but support, e.g., TN there) to support it. A “per band” capability provides a UE the flexibility to not support NTN (but support e.g., TN) in such a band.</w:t>
      </w:r>
    </w:p>
    <w:p w14:paraId="36802D9B" w14:textId="77777777" w:rsidR="00C44D15" w:rsidRDefault="00C44D15" w:rsidP="00C44D15">
      <w:r>
        <w:t>To the best of our knowledge, there isn’t a definite decision yet on forever (including in the future) excluding the possibility to have a “Type 2” band described above.</w:t>
      </w:r>
    </w:p>
    <w:p w14:paraId="6E626068" w14:textId="77777777" w:rsidR="00C44D15" w:rsidRPr="00D4198A" w:rsidRDefault="00C44D15" w:rsidP="00C44D15">
      <w:r>
        <w:t>We think we should leave the door open for Type 2 bands (including in the future), and hence stick to “per band” with capability signalling.</w:t>
      </w:r>
    </w:p>
    <w:p w14:paraId="4E50D6D9" w14:textId="2C2421E3" w:rsidR="00C44D15" w:rsidRPr="00C44D15" w:rsidRDefault="00C44D15" w:rsidP="00E31BC4">
      <w:pPr>
        <w:rPr>
          <w:b/>
          <w:bCs/>
        </w:rPr>
      </w:pPr>
      <w:r w:rsidRPr="00821964">
        <w:rPr>
          <w:b/>
          <w:bCs/>
          <w:i/>
          <w:iCs/>
          <w:u w:val="single"/>
        </w:rPr>
        <w:t>Proposal</w:t>
      </w:r>
      <w:r>
        <w:rPr>
          <w:b/>
          <w:bCs/>
          <w:i/>
          <w:iCs/>
          <w:u w:val="single"/>
        </w:rPr>
        <w:t xml:space="preserve"> 1</w:t>
      </w:r>
      <w:r w:rsidRPr="00821964">
        <w:rPr>
          <w:b/>
          <w:bCs/>
        </w:rPr>
        <w:t>: A UE’s support of NTN should be a “per band” capability.</w:t>
      </w:r>
    </w:p>
    <w:p w14:paraId="278610A8" w14:textId="77777777" w:rsidR="00BC2C76" w:rsidRDefault="00BC2C76" w:rsidP="00BC2C76">
      <w:pPr>
        <w:pStyle w:val="Heading1"/>
        <w:numPr>
          <w:ilvl w:val="0"/>
          <w:numId w:val="1"/>
        </w:numPr>
        <w:tabs>
          <w:tab w:val="clear" w:pos="1140"/>
          <w:tab w:val="num" w:pos="720"/>
        </w:tabs>
        <w:ind w:left="720" w:hanging="720"/>
        <w:jc w:val="both"/>
      </w:pPr>
      <w:r>
        <w:t>Common TA component in FG 2-1 (for GEO)</w:t>
      </w:r>
    </w:p>
    <w:p w14:paraId="5D39B719" w14:textId="3F1AC2A1" w:rsidR="00BC2C76" w:rsidRDefault="00BC2C76" w:rsidP="00BC2C76">
      <w:r>
        <w:t xml:space="preserve">Currently, the </w:t>
      </w:r>
      <w:r w:rsidR="00424F16">
        <w:t>FG 2-1</w:t>
      </w:r>
      <w:r>
        <w:t xml:space="preserve"> corresponding to “Basic IoT over NTN support” mentions the following as a component:</w:t>
      </w:r>
    </w:p>
    <w:p w14:paraId="0A323185" w14:textId="77777777" w:rsidR="00BC2C76" w:rsidRPr="007D3C0C" w:rsidRDefault="00BC2C76" w:rsidP="00BC2C76">
      <w:pPr>
        <w:pStyle w:val="ListParagraph"/>
        <w:numPr>
          <w:ilvl w:val="0"/>
          <w:numId w:val="45"/>
        </w:numPr>
        <w:rPr>
          <w:rFonts w:cs="Arial"/>
          <w:i/>
          <w:iCs/>
          <w:color w:val="000000"/>
          <w:sz w:val="18"/>
          <w:szCs w:val="18"/>
        </w:rPr>
      </w:pPr>
      <w:r w:rsidRPr="007D3C0C">
        <w:rPr>
          <w:rFonts w:cs="Arial"/>
          <w:i/>
          <w:iCs/>
          <w:color w:val="000000"/>
          <w:sz w:val="18"/>
          <w:szCs w:val="18"/>
        </w:rPr>
        <w:t xml:space="preserve">“…6. UE applies common TA </w:t>
      </w:r>
      <w:r w:rsidRPr="007D3C0C">
        <w:rPr>
          <w:rFonts w:cs="Arial"/>
          <w:i/>
          <w:iCs/>
          <w:strike/>
          <w:color w:val="FF0000"/>
          <w:sz w:val="18"/>
          <w:szCs w:val="18"/>
        </w:rPr>
        <w:t>[</w:t>
      </w:r>
      <w:r w:rsidRPr="007D3C0C">
        <w:rPr>
          <w:rFonts w:cs="Arial"/>
          <w:i/>
          <w:iCs/>
          <w:color w:val="000000"/>
          <w:sz w:val="18"/>
          <w:szCs w:val="18"/>
        </w:rPr>
        <w:t>in RRC_IDLE and RRC_CONNECTED</w:t>
      </w:r>
      <w:r w:rsidRPr="007D3C0C">
        <w:rPr>
          <w:rFonts w:cs="Arial"/>
          <w:i/>
          <w:iCs/>
          <w:strike/>
          <w:color w:val="FF0000"/>
          <w:sz w:val="18"/>
          <w:szCs w:val="18"/>
        </w:rPr>
        <w:t>]</w:t>
      </w:r>
      <w:r w:rsidRPr="007D3C0C">
        <w:rPr>
          <w:rFonts w:cs="Arial"/>
          <w:i/>
          <w:iCs/>
          <w:color w:val="000000"/>
          <w:sz w:val="18"/>
          <w:szCs w:val="18"/>
        </w:rPr>
        <w:t xml:space="preserve"> according to the parameters provided by the network </w:t>
      </w:r>
      <w:r w:rsidRPr="007D3C0C">
        <w:rPr>
          <w:rFonts w:cs="Arial"/>
          <w:i/>
          <w:iCs/>
          <w:color w:val="FF0000"/>
          <w:sz w:val="18"/>
          <w:szCs w:val="18"/>
        </w:rPr>
        <w:t>(UE considers common TA as 0 if the parameter is not provided)</w:t>
      </w:r>
      <w:r w:rsidRPr="007D3C0C">
        <w:rPr>
          <w:rFonts w:cs="Arial"/>
          <w:i/>
          <w:iCs/>
          <w:color w:val="000000"/>
          <w:sz w:val="18"/>
          <w:szCs w:val="18"/>
        </w:rPr>
        <w:t xml:space="preserve"> </w:t>
      </w:r>
      <w:r w:rsidRPr="007D3C0C">
        <w:rPr>
          <w:rFonts w:cs="Arial"/>
          <w:i/>
          <w:iCs/>
          <w:strike/>
          <w:color w:val="FF0000"/>
          <w:sz w:val="18"/>
          <w:szCs w:val="18"/>
        </w:rPr>
        <w:t>(if any)</w:t>
      </w:r>
      <w:r w:rsidRPr="007D3C0C">
        <w:rPr>
          <w:rFonts w:cs="Arial"/>
          <w:color w:val="FF0000"/>
          <w:sz w:val="18"/>
          <w:szCs w:val="18"/>
        </w:rPr>
        <w:t xml:space="preserve"> </w:t>
      </w:r>
      <w:r w:rsidRPr="007D3C0C">
        <w:rPr>
          <w:rFonts w:cs="Arial"/>
          <w:sz w:val="18"/>
          <w:szCs w:val="18"/>
          <w:u w:val="single"/>
        </w:rPr>
        <w:t>…”</w:t>
      </w:r>
    </w:p>
    <w:p w14:paraId="42A28353" w14:textId="77777777" w:rsidR="00BC2C76" w:rsidRDefault="00BC2C76" w:rsidP="00BC2C76">
      <w:pPr>
        <w:rPr>
          <w:lang w:eastAsia="ko-KR"/>
        </w:rPr>
      </w:pPr>
      <w:r>
        <w:t xml:space="preserve">The common TA parameters in general include the parameters </w:t>
      </w:r>
      <w:proofErr w:type="spellStart"/>
      <w:r w:rsidRPr="00F175EB">
        <w:rPr>
          <w:i/>
          <w:iCs/>
          <w:lang w:eastAsia="ko-KR"/>
        </w:rPr>
        <w:t>TACommon</w:t>
      </w:r>
      <w:proofErr w:type="spellEnd"/>
      <w:r w:rsidRPr="00F175EB">
        <w:rPr>
          <w:i/>
          <w:iCs/>
          <w:lang w:eastAsia="ko-KR"/>
        </w:rPr>
        <w:t xml:space="preserve">, </w:t>
      </w:r>
      <w:proofErr w:type="spellStart"/>
      <w:r w:rsidRPr="00F175EB">
        <w:rPr>
          <w:i/>
          <w:iCs/>
          <w:lang w:eastAsia="ko-KR"/>
        </w:rPr>
        <w:t>TACommonDrift</w:t>
      </w:r>
      <w:proofErr w:type="spellEnd"/>
      <w:r w:rsidRPr="00F175EB">
        <w:rPr>
          <w:i/>
          <w:iCs/>
          <w:lang w:eastAsia="ko-KR"/>
        </w:rPr>
        <w:t xml:space="preserve"> </w:t>
      </w:r>
      <w:r w:rsidRPr="003B2AA9">
        <w:rPr>
          <w:lang w:eastAsia="ko-KR"/>
        </w:rPr>
        <w:t xml:space="preserve">and </w:t>
      </w:r>
      <w:proofErr w:type="spellStart"/>
      <w:r w:rsidRPr="00F175EB">
        <w:rPr>
          <w:i/>
          <w:iCs/>
          <w:lang w:eastAsia="ko-KR"/>
        </w:rPr>
        <w:t>TACommonDriftVariation</w:t>
      </w:r>
      <w:proofErr w:type="spellEnd"/>
      <w:r>
        <w:rPr>
          <w:i/>
          <w:iCs/>
          <w:lang w:eastAsia="ko-KR"/>
        </w:rPr>
        <w:t xml:space="preserve">, </w:t>
      </w:r>
      <w:r w:rsidRPr="00B17215">
        <w:rPr>
          <w:lang w:eastAsia="ko-KR"/>
        </w:rPr>
        <w:t xml:space="preserve">with the latter two indicating </w:t>
      </w:r>
      <w:r>
        <w:rPr>
          <w:lang w:eastAsia="ko-KR"/>
        </w:rPr>
        <w:t>adjustments related to</w:t>
      </w:r>
      <w:r w:rsidRPr="00B17215">
        <w:rPr>
          <w:lang w:eastAsia="ko-KR"/>
        </w:rPr>
        <w:t xml:space="preserve"> the common TA drift.</w:t>
      </w:r>
      <w:r>
        <w:rPr>
          <w:lang w:eastAsia="ko-KR"/>
        </w:rPr>
        <w:t xml:space="preserve"> However, in GEO NTNs (which is the intended base case corresponding to FG 2-1), the drift/variation in the common TA is negligible. To this end, for simplified operation over GEO NTNs, we propose to modify the requirements on applying common TA to only include the common TA (i.e., the term </w:t>
      </w:r>
      <w:proofErr w:type="spellStart"/>
      <w:r w:rsidRPr="002D215F">
        <w:rPr>
          <w:i/>
          <w:iCs/>
          <w:lang w:eastAsia="ko-KR"/>
        </w:rPr>
        <w:t>TACommon</w:t>
      </w:r>
      <w:proofErr w:type="spellEnd"/>
      <w:r>
        <w:rPr>
          <w:lang w:eastAsia="ko-KR"/>
        </w:rPr>
        <w:t>), and not the drift/variation parameters.</w:t>
      </w:r>
    </w:p>
    <w:p w14:paraId="346CC1BB" w14:textId="63B9F1E9" w:rsidR="00BC2C76" w:rsidRPr="00BC2C76" w:rsidRDefault="00BC2C76" w:rsidP="00E31BC4">
      <w:pPr>
        <w:rPr>
          <w:b/>
          <w:bCs/>
          <w:i/>
          <w:iCs/>
        </w:rPr>
      </w:pPr>
      <w:r w:rsidRPr="003B2AA9">
        <w:rPr>
          <w:b/>
          <w:bCs/>
          <w:i/>
          <w:iCs/>
          <w:u w:val="single"/>
          <w:lang w:eastAsia="ko-KR"/>
        </w:rPr>
        <w:t>Proposal</w:t>
      </w:r>
      <w:r w:rsidR="00C44D15">
        <w:rPr>
          <w:b/>
          <w:bCs/>
          <w:i/>
          <w:iCs/>
          <w:u w:val="single"/>
          <w:lang w:eastAsia="ko-KR"/>
        </w:rPr>
        <w:t xml:space="preserve"> 2</w:t>
      </w:r>
      <w:r w:rsidRPr="003B2AA9">
        <w:rPr>
          <w:b/>
          <w:bCs/>
          <w:lang w:eastAsia="ko-KR"/>
        </w:rPr>
        <w:t xml:space="preserve">: For GEO NTNs, </w:t>
      </w:r>
      <w:r>
        <w:rPr>
          <w:b/>
          <w:bCs/>
          <w:lang w:eastAsia="ko-KR"/>
        </w:rPr>
        <w:t>a</w:t>
      </w:r>
      <w:r w:rsidRPr="003B2AA9">
        <w:rPr>
          <w:b/>
          <w:bCs/>
          <w:lang w:eastAsia="ko-KR"/>
        </w:rPr>
        <w:t xml:space="preserve"> UE applies common TA only in accordance with the common TA term, </w:t>
      </w:r>
      <w:proofErr w:type="spellStart"/>
      <w:r w:rsidRPr="003B2AA9">
        <w:rPr>
          <w:b/>
          <w:bCs/>
          <w:i/>
          <w:iCs/>
          <w:lang w:eastAsia="ko-KR"/>
        </w:rPr>
        <w:t>TACommon</w:t>
      </w:r>
      <w:proofErr w:type="spellEnd"/>
      <w:r w:rsidRPr="003B2AA9">
        <w:rPr>
          <w:b/>
          <w:bCs/>
          <w:lang w:eastAsia="ko-KR"/>
        </w:rPr>
        <w:t xml:space="preserve">, and is not required to </w:t>
      </w:r>
      <w:r>
        <w:rPr>
          <w:b/>
          <w:bCs/>
          <w:lang w:eastAsia="ko-KR"/>
        </w:rPr>
        <w:t>process</w:t>
      </w:r>
      <w:r w:rsidRPr="003B2AA9">
        <w:rPr>
          <w:b/>
          <w:bCs/>
          <w:lang w:eastAsia="ko-KR"/>
        </w:rPr>
        <w:t xml:space="preserve"> the drift/variation parameters </w:t>
      </w:r>
      <w:proofErr w:type="spellStart"/>
      <w:r w:rsidRPr="003B2AA9">
        <w:rPr>
          <w:b/>
          <w:bCs/>
          <w:i/>
          <w:iCs/>
          <w:lang w:eastAsia="ko-KR"/>
        </w:rPr>
        <w:t>TACommonDrift</w:t>
      </w:r>
      <w:proofErr w:type="spellEnd"/>
      <w:r w:rsidRPr="003B2AA9">
        <w:rPr>
          <w:b/>
          <w:bCs/>
          <w:i/>
          <w:iCs/>
          <w:lang w:eastAsia="ko-KR"/>
        </w:rPr>
        <w:t xml:space="preserve"> </w:t>
      </w:r>
      <w:r w:rsidRPr="003B2AA9">
        <w:rPr>
          <w:b/>
          <w:bCs/>
          <w:lang w:eastAsia="ko-KR"/>
        </w:rPr>
        <w:t xml:space="preserve">and </w:t>
      </w:r>
      <w:proofErr w:type="spellStart"/>
      <w:r w:rsidRPr="003B2AA9">
        <w:rPr>
          <w:b/>
          <w:bCs/>
          <w:i/>
          <w:iCs/>
          <w:lang w:eastAsia="ko-KR"/>
        </w:rPr>
        <w:t>TACommonDriftVariation</w:t>
      </w:r>
      <w:proofErr w:type="spellEnd"/>
      <w:r w:rsidRPr="003B2AA9">
        <w:rPr>
          <w:b/>
          <w:bCs/>
          <w:i/>
          <w:iCs/>
          <w:lang w:eastAsia="ko-KR"/>
        </w:rPr>
        <w:t>.</w:t>
      </w:r>
    </w:p>
    <w:p w14:paraId="5F34605D" w14:textId="77777777" w:rsidR="00790093" w:rsidRDefault="00790093" w:rsidP="00790093">
      <w:pPr>
        <w:pStyle w:val="Heading1"/>
        <w:numPr>
          <w:ilvl w:val="0"/>
          <w:numId w:val="1"/>
        </w:numPr>
        <w:tabs>
          <w:tab w:val="clear" w:pos="1140"/>
          <w:tab w:val="num" w:pos="720"/>
        </w:tabs>
        <w:ind w:left="720" w:hanging="720"/>
        <w:jc w:val="both"/>
      </w:pPr>
      <w:r>
        <w:lastRenderedPageBreak/>
        <w:t>Applicability of Terrestrial Network (TN) features to NTN</w:t>
      </w:r>
    </w:p>
    <w:p w14:paraId="29E7B466" w14:textId="095D6C12" w:rsidR="00E179BC" w:rsidRDefault="001C2D93" w:rsidP="00E31BC4">
      <w:r>
        <w:t xml:space="preserve">RAN1 should </w:t>
      </w:r>
      <w:r w:rsidR="00B25FEE">
        <w:t xml:space="preserve">discuss how to determine the applicability of all terrestrial network (TN) features up to Rel16 </w:t>
      </w:r>
      <w:r w:rsidR="00CB3036">
        <w:t xml:space="preserve">for the case of NTN. </w:t>
      </w:r>
      <w:r w:rsidR="001949C4">
        <w:t xml:space="preserve">This </w:t>
      </w:r>
      <w:r w:rsidR="008C336F">
        <w:t>may</w:t>
      </w:r>
      <w:r w:rsidR="001949C4">
        <w:t xml:space="preserve"> </w:t>
      </w:r>
      <w:r w:rsidR="009B2ADD">
        <w:t>involve</w:t>
      </w:r>
      <w:r w:rsidR="001949C4">
        <w:t xml:space="preserve"> a </w:t>
      </w:r>
      <w:r w:rsidR="002D40A4">
        <w:t>feature-by-feature</w:t>
      </w:r>
      <w:r w:rsidR="001949C4">
        <w:t xml:space="preserve"> determination of applicability</w:t>
      </w:r>
      <w:r w:rsidR="004925DF">
        <w:t xml:space="preserve"> to NTNs </w:t>
      </w:r>
      <w:r w:rsidR="001949C4">
        <w:t xml:space="preserve">from the </w:t>
      </w:r>
      <w:r w:rsidR="004925DF">
        <w:t xml:space="preserve">(legacy) </w:t>
      </w:r>
      <w:r w:rsidR="001949C4">
        <w:t>feature list for TNs</w:t>
      </w:r>
      <w:r w:rsidR="004925DF">
        <w:t xml:space="preserve"> up to Rel16.</w:t>
      </w:r>
      <w:r w:rsidR="009B2ADD">
        <w:t xml:space="preserve"> A default assumption on applicability may be made, which </w:t>
      </w:r>
      <w:r w:rsidR="00735119">
        <w:t>may then be overridden on a case-by-case basis, as appropriate.</w:t>
      </w:r>
    </w:p>
    <w:p w14:paraId="02FC8CE6" w14:textId="79BE4E2A" w:rsidR="004925DF" w:rsidRDefault="004925DF" w:rsidP="00E31BC4">
      <w:pPr>
        <w:rPr>
          <w:b/>
          <w:bCs/>
        </w:rPr>
      </w:pPr>
      <w:r w:rsidRPr="007425C0">
        <w:rPr>
          <w:b/>
          <w:bCs/>
          <w:i/>
          <w:iCs/>
          <w:u w:val="single"/>
        </w:rPr>
        <w:t>Proposal</w:t>
      </w:r>
      <w:r w:rsidR="00C44D15">
        <w:rPr>
          <w:b/>
          <w:bCs/>
          <w:i/>
          <w:iCs/>
          <w:u w:val="single"/>
        </w:rPr>
        <w:t xml:space="preserve"> 3</w:t>
      </w:r>
      <w:r w:rsidRPr="00043456">
        <w:rPr>
          <w:b/>
          <w:bCs/>
        </w:rPr>
        <w:t>: RAN1 to discuss the determination of applicability</w:t>
      </w:r>
      <w:r w:rsidR="005E3C63" w:rsidRPr="00043456">
        <w:rPr>
          <w:b/>
          <w:bCs/>
        </w:rPr>
        <w:t xml:space="preserve"> of Terrestrial Network</w:t>
      </w:r>
      <w:r w:rsidR="003B4796">
        <w:rPr>
          <w:b/>
          <w:bCs/>
        </w:rPr>
        <w:t xml:space="preserve"> (TN)</w:t>
      </w:r>
      <w:r w:rsidR="005E3C63" w:rsidRPr="00043456">
        <w:rPr>
          <w:b/>
          <w:bCs/>
        </w:rPr>
        <w:t xml:space="preserve"> features up to Release 16 to IoT-NTN in Release 17.</w:t>
      </w:r>
    </w:p>
    <w:p w14:paraId="46141F2D" w14:textId="438814F8" w:rsidR="00735119" w:rsidRDefault="00735119" w:rsidP="00735119">
      <w:pPr>
        <w:pStyle w:val="ListParagraph"/>
        <w:numPr>
          <w:ilvl w:val="0"/>
          <w:numId w:val="44"/>
        </w:numPr>
        <w:rPr>
          <w:b/>
          <w:bCs/>
        </w:rPr>
      </w:pPr>
      <w:r>
        <w:rPr>
          <w:b/>
          <w:bCs/>
        </w:rPr>
        <w:t xml:space="preserve">A default assumption may </w:t>
      </w:r>
      <w:r w:rsidR="006A4AFA">
        <w:rPr>
          <w:b/>
          <w:bCs/>
        </w:rPr>
        <w:t xml:space="preserve">be </w:t>
      </w:r>
      <w:r w:rsidR="007F635A">
        <w:rPr>
          <w:b/>
          <w:bCs/>
        </w:rPr>
        <w:t>that</w:t>
      </w:r>
      <w:r>
        <w:rPr>
          <w:b/>
          <w:bCs/>
        </w:rPr>
        <w:t xml:space="preserve"> </w:t>
      </w:r>
      <w:r w:rsidR="002D40A4">
        <w:rPr>
          <w:b/>
          <w:bCs/>
        </w:rPr>
        <w:t xml:space="preserve">a </w:t>
      </w:r>
      <w:r>
        <w:rPr>
          <w:b/>
          <w:bCs/>
        </w:rPr>
        <w:t xml:space="preserve">legacy </w:t>
      </w:r>
      <w:r w:rsidR="003B4796">
        <w:rPr>
          <w:b/>
          <w:bCs/>
        </w:rPr>
        <w:t xml:space="preserve">IoT </w:t>
      </w:r>
      <w:r>
        <w:rPr>
          <w:b/>
          <w:bCs/>
        </w:rPr>
        <w:t xml:space="preserve">TN feature </w:t>
      </w:r>
      <w:r w:rsidR="002D40A4">
        <w:rPr>
          <w:b/>
          <w:bCs/>
        </w:rPr>
        <w:t>is</w:t>
      </w:r>
      <w:r w:rsidR="007F635A">
        <w:rPr>
          <w:b/>
          <w:bCs/>
        </w:rPr>
        <w:t xml:space="preserve"> </w:t>
      </w:r>
      <w:r w:rsidR="00AD50E2">
        <w:rPr>
          <w:b/>
          <w:bCs/>
        </w:rPr>
        <w:t>applicable for</w:t>
      </w:r>
      <w:r w:rsidR="007F635A">
        <w:rPr>
          <w:b/>
          <w:bCs/>
        </w:rPr>
        <w:t xml:space="preserve"> </w:t>
      </w:r>
      <w:r w:rsidR="003B4796">
        <w:rPr>
          <w:b/>
          <w:bCs/>
        </w:rPr>
        <w:t>IoT-</w:t>
      </w:r>
      <w:r w:rsidR="007F635A">
        <w:rPr>
          <w:b/>
          <w:bCs/>
        </w:rPr>
        <w:t xml:space="preserve">NTN, </w:t>
      </w:r>
      <w:r w:rsidR="003B4796">
        <w:rPr>
          <w:b/>
          <w:bCs/>
        </w:rPr>
        <w:t>unless it</w:t>
      </w:r>
      <w:r w:rsidR="002D40A4">
        <w:rPr>
          <w:b/>
          <w:bCs/>
        </w:rPr>
        <w:t xml:space="preserve"> </w:t>
      </w:r>
      <w:r w:rsidR="006A4AFA">
        <w:rPr>
          <w:b/>
          <w:bCs/>
        </w:rPr>
        <w:t xml:space="preserve">is </w:t>
      </w:r>
      <w:r w:rsidR="008B632A">
        <w:rPr>
          <w:b/>
          <w:bCs/>
        </w:rPr>
        <w:t xml:space="preserve">explicitly </w:t>
      </w:r>
      <w:r w:rsidR="006A4AFA">
        <w:rPr>
          <w:b/>
          <w:bCs/>
        </w:rPr>
        <w:t xml:space="preserve">demonstrated that it </w:t>
      </w:r>
      <w:r w:rsidR="002D40A4">
        <w:rPr>
          <w:b/>
          <w:bCs/>
        </w:rPr>
        <w:t xml:space="preserve">cannot be supported/is not applicable to </w:t>
      </w:r>
      <w:r w:rsidR="003B4796">
        <w:rPr>
          <w:b/>
          <w:bCs/>
        </w:rPr>
        <w:t>IoT-</w:t>
      </w:r>
      <w:r w:rsidR="002D40A4">
        <w:rPr>
          <w:b/>
          <w:bCs/>
        </w:rPr>
        <w:t>NTN.</w:t>
      </w:r>
    </w:p>
    <w:p w14:paraId="361950D4" w14:textId="16C18510" w:rsidR="00AD50E2" w:rsidRPr="00735119" w:rsidRDefault="00AD50E2" w:rsidP="00735119">
      <w:pPr>
        <w:pStyle w:val="ListParagraph"/>
        <w:numPr>
          <w:ilvl w:val="0"/>
          <w:numId w:val="44"/>
        </w:numPr>
        <w:rPr>
          <w:b/>
          <w:bCs/>
        </w:rPr>
      </w:pPr>
      <w:r>
        <w:rPr>
          <w:b/>
          <w:bCs/>
        </w:rPr>
        <w:t>For the features that are applicable to IOT-NTN, a new capability indication (separate from the TN one) is introduced.</w:t>
      </w:r>
    </w:p>
    <w:p w14:paraId="72FCCC8A" w14:textId="1D08AA9D" w:rsidR="00874392" w:rsidRDefault="00874392" w:rsidP="00874392">
      <w:pPr>
        <w:pStyle w:val="Heading1"/>
        <w:numPr>
          <w:ilvl w:val="0"/>
          <w:numId w:val="1"/>
        </w:numPr>
        <w:tabs>
          <w:tab w:val="clear" w:pos="1140"/>
          <w:tab w:val="num" w:pos="720"/>
        </w:tabs>
        <w:ind w:left="720" w:hanging="720"/>
        <w:jc w:val="both"/>
      </w:pPr>
      <w:r>
        <w:t>Conclusion</w:t>
      </w:r>
    </w:p>
    <w:p w14:paraId="62880045" w14:textId="7DDFE06E" w:rsidR="003E3336" w:rsidRDefault="00BC3A60" w:rsidP="00757E09">
      <w:r>
        <w:t>We summarize our proposals below.</w:t>
      </w:r>
    </w:p>
    <w:p w14:paraId="38634643" w14:textId="77777777" w:rsidR="006B5889" w:rsidRPr="00C44D15" w:rsidRDefault="006B5889" w:rsidP="006B5889">
      <w:pPr>
        <w:rPr>
          <w:b/>
          <w:bCs/>
        </w:rPr>
      </w:pPr>
      <w:r w:rsidRPr="00821964">
        <w:rPr>
          <w:b/>
          <w:bCs/>
          <w:i/>
          <w:iCs/>
          <w:u w:val="single"/>
        </w:rPr>
        <w:t>Proposal</w:t>
      </w:r>
      <w:r>
        <w:rPr>
          <w:b/>
          <w:bCs/>
          <w:i/>
          <w:iCs/>
          <w:u w:val="single"/>
        </w:rPr>
        <w:t xml:space="preserve"> 1</w:t>
      </w:r>
      <w:r w:rsidRPr="00821964">
        <w:rPr>
          <w:b/>
          <w:bCs/>
        </w:rPr>
        <w:t>: A UE’s support of NTN should be a “per band” capability.</w:t>
      </w:r>
    </w:p>
    <w:p w14:paraId="538B37CE" w14:textId="77777777" w:rsidR="006B5889" w:rsidRPr="00BC2C76" w:rsidRDefault="006B5889" w:rsidP="006B5889">
      <w:pPr>
        <w:rPr>
          <w:b/>
          <w:bCs/>
          <w:i/>
          <w:iCs/>
        </w:rPr>
      </w:pPr>
      <w:r w:rsidRPr="003B2AA9">
        <w:rPr>
          <w:b/>
          <w:bCs/>
          <w:i/>
          <w:iCs/>
          <w:u w:val="single"/>
          <w:lang w:eastAsia="ko-KR"/>
        </w:rPr>
        <w:t>Proposal</w:t>
      </w:r>
      <w:r>
        <w:rPr>
          <w:b/>
          <w:bCs/>
          <w:i/>
          <w:iCs/>
          <w:u w:val="single"/>
          <w:lang w:eastAsia="ko-KR"/>
        </w:rPr>
        <w:t xml:space="preserve"> 2</w:t>
      </w:r>
      <w:r w:rsidRPr="003B2AA9">
        <w:rPr>
          <w:b/>
          <w:bCs/>
          <w:lang w:eastAsia="ko-KR"/>
        </w:rPr>
        <w:t xml:space="preserve">: For GEO NTNs, </w:t>
      </w:r>
      <w:r>
        <w:rPr>
          <w:b/>
          <w:bCs/>
          <w:lang w:eastAsia="ko-KR"/>
        </w:rPr>
        <w:t>a</w:t>
      </w:r>
      <w:r w:rsidRPr="003B2AA9">
        <w:rPr>
          <w:b/>
          <w:bCs/>
          <w:lang w:eastAsia="ko-KR"/>
        </w:rPr>
        <w:t xml:space="preserve"> UE applies common TA only in accordance with the common TA term, </w:t>
      </w:r>
      <w:proofErr w:type="spellStart"/>
      <w:r w:rsidRPr="003B2AA9">
        <w:rPr>
          <w:b/>
          <w:bCs/>
          <w:i/>
          <w:iCs/>
          <w:lang w:eastAsia="ko-KR"/>
        </w:rPr>
        <w:t>TACommon</w:t>
      </w:r>
      <w:proofErr w:type="spellEnd"/>
      <w:r w:rsidRPr="003B2AA9">
        <w:rPr>
          <w:b/>
          <w:bCs/>
          <w:lang w:eastAsia="ko-KR"/>
        </w:rPr>
        <w:t xml:space="preserve">, and is not required to </w:t>
      </w:r>
      <w:r>
        <w:rPr>
          <w:b/>
          <w:bCs/>
          <w:lang w:eastAsia="ko-KR"/>
        </w:rPr>
        <w:t>process</w:t>
      </w:r>
      <w:r w:rsidRPr="003B2AA9">
        <w:rPr>
          <w:b/>
          <w:bCs/>
          <w:lang w:eastAsia="ko-KR"/>
        </w:rPr>
        <w:t xml:space="preserve"> the drift/variation parameters </w:t>
      </w:r>
      <w:proofErr w:type="spellStart"/>
      <w:r w:rsidRPr="003B2AA9">
        <w:rPr>
          <w:b/>
          <w:bCs/>
          <w:i/>
          <w:iCs/>
          <w:lang w:eastAsia="ko-KR"/>
        </w:rPr>
        <w:t>TACommonDrift</w:t>
      </w:r>
      <w:proofErr w:type="spellEnd"/>
      <w:r w:rsidRPr="003B2AA9">
        <w:rPr>
          <w:b/>
          <w:bCs/>
          <w:i/>
          <w:iCs/>
          <w:lang w:eastAsia="ko-KR"/>
        </w:rPr>
        <w:t xml:space="preserve"> </w:t>
      </w:r>
      <w:r w:rsidRPr="003B2AA9">
        <w:rPr>
          <w:b/>
          <w:bCs/>
          <w:lang w:eastAsia="ko-KR"/>
        </w:rPr>
        <w:t xml:space="preserve">and </w:t>
      </w:r>
      <w:proofErr w:type="spellStart"/>
      <w:r w:rsidRPr="003B2AA9">
        <w:rPr>
          <w:b/>
          <w:bCs/>
          <w:i/>
          <w:iCs/>
          <w:lang w:eastAsia="ko-KR"/>
        </w:rPr>
        <w:t>TACommonDriftVariation</w:t>
      </w:r>
      <w:proofErr w:type="spellEnd"/>
      <w:r w:rsidRPr="003B2AA9">
        <w:rPr>
          <w:b/>
          <w:bCs/>
          <w:i/>
          <w:iCs/>
          <w:lang w:eastAsia="ko-KR"/>
        </w:rPr>
        <w:t>.</w:t>
      </w:r>
    </w:p>
    <w:p w14:paraId="1EE8ADE8" w14:textId="77777777" w:rsidR="006B5889" w:rsidRDefault="006B5889" w:rsidP="006B5889">
      <w:pPr>
        <w:rPr>
          <w:b/>
          <w:bCs/>
        </w:rPr>
      </w:pPr>
      <w:r w:rsidRPr="007425C0">
        <w:rPr>
          <w:b/>
          <w:bCs/>
          <w:i/>
          <w:iCs/>
          <w:u w:val="single"/>
        </w:rPr>
        <w:t>Proposal</w:t>
      </w:r>
      <w:r>
        <w:rPr>
          <w:b/>
          <w:bCs/>
          <w:i/>
          <w:iCs/>
          <w:u w:val="single"/>
        </w:rPr>
        <w:t xml:space="preserve"> 3</w:t>
      </w:r>
      <w:r w:rsidRPr="00043456">
        <w:rPr>
          <w:b/>
          <w:bCs/>
        </w:rPr>
        <w:t>: RAN1 to discuss the determination of applicability of Terrestrial Network</w:t>
      </w:r>
      <w:r>
        <w:rPr>
          <w:b/>
          <w:bCs/>
        </w:rPr>
        <w:t xml:space="preserve"> (TN)</w:t>
      </w:r>
      <w:r w:rsidRPr="00043456">
        <w:rPr>
          <w:b/>
          <w:bCs/>
        </w:rPr>
        <w:t xml:space="preserve"> features up to Release 16 to IoT-NTN in Release 17.</w:t>
      </w:r>
    </w:p>
    <w:p w14:paraId="5F646F7A" w14:textId="77777777" w:rsidR="006B5889" w:rsidRDefault="006B5889" w:rsidP="006B5889">
      <w:pPr>
        <w:pStyle w:val="ListParagraph"/>
        <w:numPr>
          <w:ilvl w:val="0"/>
          <w:numId w:val="44"/>
        </w:numPr>
        <w:rPr>
          <w:b/>
          <w:bCs/>
        </w:rPr>
      </w:pPr>
      <w:r>
        <w:rPr>
          <w:b/>
          <w:bCs/>
        </w:rPr>
        <w:t>A default assumption may be that a legacy IoT TN feature is applicable for IoT-NTN, unless it is explicitly demonstrated that it cannot be supported/is not applicable to IoT-NTN.</w:t>
      </w:r>
    </w:p>
    <w:p w14:paraId="10B1D31A" w14:textId="68FDEFD9" w:rsidR="005A3335" w:rsidRPr="006B5889" w:rsidRDefault="006B5889" w:rsidP="00C44D15">
      <w:pPr>
        <w:pStyle w:val="ListParagraph"/>
        <w:numPr>
          <w:ilvl w:val="0"/>
          <w:numId w:val="44"/>
        </w:numPr>
        <w:rPr>
          <w:b/>
          <w:bCs/>
        </w:rPr>
      </w:pPr>
      <w:r>
        <w:rPr>
          <w:b/>
          <w:bCs/>
        </w:rPr>
        <w:t>For the features that are applicable to IOT-NTN, a new capability indication (separate from the TN one) is introduced.</w:t>
      </w:r>
    </w:p>
    <w:sectPr w:rsidR="005A3335" w:rsidRPr="006B5889" w:rsidSect="00366AB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206F7" w14:textId="77777777" w:rsidR="005A74A0" w:rsidRDefault="005A74A0">
      <w:pPr>
        <w:spacing w:after="0"/>
      </w:pPr>
      <w:r>
        <w:separator/>
      </w:r>
    </w:p>
  </w:endnote>
  <w:endnote w:type="continuationSeparator" w:id="0">
    <w:p w14:paraId="7F454B1D" w14:textId="77777777" w:rsidR="005A74A0" w:rsidRDefault="005A74A0">
      <w:pPr>
        <w:spacing w:after="0"/>
      </w:pPr>
      <w:r>
        <w:continuationSeparator/>
      </w:r>
    </w:p>
  </w:endnote>
  <w:endnote w:type="continuationNotice" w:id="1">
    <w:p w14:paraId="0B7B7FCC" w14:textId="77777777" w:rsidR="005A74A0" w:rsidRDefault="005A74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46FEE" w14:textId="77777777" w:rsidR="005A74A0" w:rsidRDefault="005A74A0">
      <w:pPr>
        <w:spacing w:after="0"/>
      </w:pPr>
      <w:r>
        <w:separator/>
      </w:r>
    </w:p>
  </w:footnote>
  <w:footnote w:type="continuationSeparator" w:id="0">
    <w:p w14:paraId="1D715071" w14:textId="77777777" w:rsidR="005A74A0" w:rsidRDefault="005A74A0">
      <w:pPr>
        <w:spacing w:after="0"/>
      </w:pPr>
      <w:r>
        <w:continuationSeparator/>
      </w:r>
    </w:p>
  </w:footnote>
  <w:footnote w:type="continuationNotice" w:id="1">
    <w:p w14:paraId="531DBE03" w14:textId="77777777" w:rsidR="005A74A0" w:rsidRDefault="005A74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1F8A"/>
    <w:multiLevelType w:val="hybridMultilevel"/>
    <w:tmpl w:val="3C141C8C"/>
    <w:lvl w:ilvl="0" w:tplc="DB1E8984">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5314A44"/>
    <w:multiLevelType w:val="hybridMultilevel"/>
    <w:tmpl w:val="1BFC0B26"/>
    <w:lvl w:ilvl="0" w:tplc="93D2524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86281D2C"/>
    <w:lvl w:ilvl="0">
      <w:start w:val="1"/>
      <w:numFmt w:val="decimal"/>
      <w:lvlText w:val="%1"/>
      <w:lvlJc w:val="left"/>
      <w:pPr>
        <w:tabs>
          <w:tab w:val="num" w:pos="1140"/>
        </w:tabs>
        <w:ind w:left="1140" w:hanging="1140"/>
      </w:pPr>
      <w:rPr>
        <w:rFonts w:hint="default"/>
        <w:b w:val="0"/>
        <w:bCs w:val="0"/>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1915EC"/>
    <w:multiLevelType w:val="hybridMultilevel"/>
    <w:tmpl w:val="42D08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E75FB"/>
    <w:multiLevelType w:val="hybridMultilevel"/>
    <w:tmpl w:val="9FAE7886"/>
    <w:lvl w:ilvl="0" w:tplc="9502E7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6552D"/>
    <w:multiLevelType w:val="hybridMultilevel"/>
    <w:tmpl w:val="4362991E"/>
    <w:lvl w:ilvl="0" w:tplc="9B7699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1F438E"/>
    <w:multiLevelType w:val="hybridMultilevel"/>
    <w:tmpl w:val="C91E270E"/>
    <w:lvl w:ilvl="0" w:tplc="C846A2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C505A8C"/>
    <w:multiLevelType w:val="hybridMultilevel"/>
    <w:tmpl w:val="05CE023E"/>
    <w:lvl w:ilvl="0" w:tplc="F8AEC0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442A79"/>
    <w:multiLevelType w:val="hybridMultilevel"/>
    <w:tmpl w:val="2ED2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75015B"/>
    <w:multiLevelType w:val="hybridMultilevel"/>
    <w:tmpl w:val="50728B40"/>
    <w:lvl w:ilvl="0" w:tplc="A92433F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AD47F2"/>
    <w:multiLevelType w:val="hybridMultilevel"/>
    <w:tmpl w:val="6BA2C6C8"/>
    <w:lvl w:ilvl="0" w:tplc="C83ADCD8">
      <w:start w:val="1"/>
      <w:numFmt w:val="decimal"/>
      <w:lvlText w:val="%1."/>
      <w:lvlJc w:val="left"/>
      <w:pPr>
        <w:ind w:left="360" w:hanging="360"/>
      </w:pPr>
      <w:rPr>
        <w:rFonts w:asciiTheme="majorHAnsi" w:eastAsia="MS Gothic" w:hAnsiTheme="majorHAnsi" w:cstheme="majorHAnsi"/>
        <w:sz w:val="18"/>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8" w15:restartNumberingAfterBreak="0">
    <w:nsid w:val="35E67411"/>
    <w:multiLevelType w:val="hybridMultilevel"/>
    <w:tmpl w:val="198C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814A3C"/>
    <w:multiLevelType w:val="hybridMultilevel"/>
    <w:tmpl w:val="E70C69B8"/>
    <w:lvl w:ilvl="0" w:tplc="54247DC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4EEF5B78"/>
    <w:multiLevelType w:val="hybridMultilevel"/>
    <w:tmpl w:val="5D84E93A"/>
    <w:lvl w:ilvl="0" w:tplc="296670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28548E"/>
    <w:multiLevelType w:val="hybridMultilevel"/>
    <w:tmpl w:val="4C12B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7430FE"/>
    <w:multiLevelType w:val="hybridMultilevel"/>
    <w:tmpl w:val="8DDE0BAC"/>
    <w:lvl w:ilvl="0" w:tplc="2774EAD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512553E"/>
    <w:multiLevelType w:val="hybridMultilevel"/>
    <w:tmpl w:val="CCCAE0F0"/>
    <w:lvl w:ilvl="0" w:tplc="9F483416">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2A4977"/>
    <w:multiLevelType w:val="hybridMultilevel"/>
    <w:tmpl w:val="4178077E"/>
    <w:lvl w:ilvl="0" w:tplc="24C2A28E">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57440B09"/>
    <w:multiLevelType w:val="hybridMultilevel"/>
    <w:tmpl w:val="A3882214"/>
    <w:lvl w:ilvl="0" w:tplc="D4A0B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132C70"/>
    <w:multiLevelType w:val="hybridMultilevel"/>
    <w:tmpl w:val="567A1C8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4713FA"/>
    <w:multiLevelType w:val="hybridMultilevel"/>
    <w:tmpl w:val="D722CF20"/>
    <w:lvl w:ilvl="0" w:tplc="3370C8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FF5D4C"/>
    <w:multiLevelType w:val="hybridMultilevel"/>
    <w:tmpl w:val="E7680C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626980"/>
    <w:multiLevelType w:val="hybridMultilevel"/>
    <w:tmpl w:val="2A50C1B2"/>
    <w:lvl w:ilvl="0" w:tplc="52C0F836">
      <w:start w:val="1"/>
      <w:numFmt w:val="decimal"/>
      <w:lvlText w:val="%1."/>
      <w:lvlJc w:val="left"/>
      <w:pPr>
        <w:ind w:left="360" w:hanging="360"/>
      </w:pPr>
      <w:rPr>
        <w:rFonts w:asciiTheme="majorHAnsi" w:eastAsia="MS Gothic"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636C015A"/>
    <w:multiLevelType w:val="hybridMultilevel"/>
    <w:tmpl w:val="36469B48"/>
    <w:lvl w:ilvl="0" w:tplc="01AC7BDA">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47E0C12"/>
    <w:multiLevelType w:val="hybridMultilevel"/>
    <w:tmpl w:val="847E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42" w15:restartNumberingAfterBreak="0">
    <w:nsid w:val="792425B8"/>
    <w:multiLevelType w:val="hybridMultilevel"/>
    <w:tmpl w:val="53FAF7FC"/>
    <w:lvl w:ilvl="0" w:tplc="00EEEB2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EA71F53"/>
    <w:multiLevelType w:val="hybridMultilevel"/>
    <w:tmpl w:val="01EC27B2"/>
    <w:lvl w:ilvl="0" w:tplc="ED0C7B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6"/>
  </w:num>
  <w:num w:numId="3">
    <w:abstractNumId w:val="25"/>
  </w:num>
  <w:num w:numId="4">
    <w:abstractNumId w:val="34"/>
  </w:num>
  <w:num w:numId="5">
    <w:abstractNumId w:val="20"/>
  </w:num>
  <w:num w:numId="6">
    <w:abstractNumId w:val="39"/>
  </w:num>
  <w:num w:numId="7">
    <w:abstractNumId w:val="41"/>
  </w:num>
  <w:num w:numId="8">
    <w:abstractNumId w:val="12"/>
  </w:num>
  <w:num w:numId="9">
    <w:abstractNumId w:val="43"/>
  </w:num>
  <w:num w:numId="10">
    <w:abstractNumId w:val="23"/>
  </w:num>
  <w:num w:numId="11">
    <w:abstractNumId w:val="9"/>
  </w:num>
  <w:num w:numId="12">
    <w:abstractNumId w:val="3"/>
  </w:num>
  <w:num w:numId="13">
    <w:abstractNumId w:val="45"/>
  </w:num>
  <w:num w:numId="14">
    <w:abstractNumId w:val="19"/>
  </w:num>
  <w:num w:numId="15">
    <w:abstractNumId w:val="10"/>
  </w:num>
  <w:num w:numId="16">
    <w:abstractNumId w:val="4"/>
  </w:num>
  <w:num w:numId="17">
    <w:abstractNumId w:val="13"/>
  </w:num>
  <w:num w:numId="18">
    <w:abstractNumId w:val="38"/>
  </w:num>
  <w:num w:numId="19">
    <w:abstractNumId w:val="24"/>
  </w:num>
  <w:num w:numId="20">
    <w:abstractNumId w:val="18"/>
  </w:num>
  <w:num w:numId="21">
    <w:abstractNumId w:val="22"/>
  </w:num>
  <w:num w:numId="22">
    <w:abstractNumId w:val="8"/>
  </w:num>
  <w:num w:numId="23">
    <w:abstractNumId w:val="42"/>
  </w:num>
  <w:num w:numId="24">
    <w:abstractNumId w:val="11"/>
  </w:num>
  <w:num w:numId="25">
    <w:abstractNumId w:val="44"/>
  </w:num>
  <w:num w:numId="26">
    <w:abstractNumId w:val="30"/>
  </w:num>
  <w:num w:numId="27">
    <w:abstractNumId w:val="7"/>
  </w:num>
  <w:num w:numId="28">
    <w:abstractNumId w:val="28"/>
  </w:num>
  <w:num w:numId="29">
    <w:abstractNumId w:val="32"/>
  </w:num>
  <w:num w:numId="30">
    <w:abstractNumId w:val="40"/>
  </w:num>
  <w:num w:numId="31">
    <w:abstractNumId w:val="16"/>
  </w:num>
  <w:num w:numId="32">
    <w:abstractNumId w:val="15"/>
  </w:num>
  <w:num w:numId="33">
    <w:abstractNumId w:val="14"/>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5"/>
  </w:num>
  <w:num w:numId="44">
    <w:abstractNumId w:val="1"/>
  </w:num>
  <w:num w:numId="45">
    <w:abstractNumId w:val="33"/>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BE7"/>
    <w:rsid w:val="000024CF"/>
    <w:rsid w:val="00005C95"/>
    <w:rsid w:val="00005F51"/>
    <w:rsid w:val="0000789C"/>
    <w:rsid w:val="00013B5C"/>
    <w:rsid w:val="0002016E"/>
    <w:rsid w:val="00022216"/>
    <w:rsid w:val="000236C6"/>
    <w:rsid w:val="000273BD"/>
    <w:rsid w:val="000345F6"/>
    <w:rsid w:val="000369C3"/>
    <w:rsid w:val="00036B14"/>
    <w:rsid w:val="00037582"/>
    <w:rsid w:val="00037919"/>
    <w:rsid w:val="0004041F"/>
    <w:rsid w:val="00042084"/>
    <w:rsid w:val="00042869"/>
    <w:rsid w:val="00042BED"/>
    <w:rsid w:val="00043456"/>
    <w:rsid w:val="000458D8"/>
    <w:rsid w:val="00045BDF"/>
    <w:rsid w:val="00045EFB"/>
    <w:rsid w:val="00046020"/>
    <w:rsid w:val="000500F7"/>
    <w:rsid w:val="00054E5C"/>
    <w:rsid w:val="000603B3"/>
    <w:rsid w:val="00063D75"/>
    <w:rsid w:val="00063DAE"/>
    <w:rsid w:val="00064278"/>
    <w:rsid w:val="000707F2"/>
    <w:rsid w:val="0007530E"/>
    <w:rsid w:val="00081CDD"/>
    <w:rsid w:val="0008247D"/>
    <w:rsid w:val="00085FF9"/>
    <w:rsid w:val="000877DA"/>
    <w:rsid w:val="00087D07"/>
    <w:rsid w:val="00091116"/>
    <w:rsid w:val="00096235"/>
    <w:rsid w:val="00097E6B"/>
    <w:rsid w:val="000B1990"/>
    <w:rsid w:val="000C6FD1"/>
    <w:rsid w:val="000D23CF"/>
    <w:rsid w:val="000D4151"/>
    <w:rsid w:val="000E1342"/>
    <w:rsid w:val="000E330D"/>
    <w:rsid w:val="000E7606"/>
    <w:rsid w:val="000E792E"/>
    <w:rsid w:val="000F32B6"/>
    <w:rsid w:val="000F70C7"/>
    <w:rsid w:val="000F7431"/>
    <w:rsid w:val="0010253A"/>
    <w:rsid w:val="001030EF"/>
    <w:rsid w:val="00111452"/>
    <w:rsid w:val="00114D8E"/>
    <w:rsid w:val="00116377"/>
    <w:rsid w:val="001172E8"/>
    <w:rsid w:val="00122D19"/>
    <w:rsid w:val="001232EC"/>
    <w:rsid w:val="00123C21"/>
    <w:rsid w:val="00124E5D"/>
    <w:rsid w:val="00125DAC"/>
    <w:rsid w:val="0013602A"/>
    <w:rsid w:val="001369AD"/>
    <w:rsid w:val="0014302F"/>
    <w:rsid w:val="00144F61"/>
    <w:rsid w:val="00146E52"/>
    <w:rsid w:val="001536B5"/>
    <w:rsid w:val="00154C05"/>
    <w:rsid w:val="0015697F"/>
    <w:rsid w:val="0015790E"/>
    <w:rsid w:val="001624E9"/>
    <w:rsid w:val="00166645"/>
    <w:rsid w:val="00172DAC"/>
    <w:rsid w:val="001745C2"/>
    <w:rsid w:val="001839D7"/>
    <w:rsid w:val="00190E24"/>
    <w:rsid w:val="001949C4"/>
    <w:rsid w:val="001A1E09"/>
    <w:rsid w:val="001A452F"/>
    <w:rsid w:val="001A4C86"/>
    <w:rsid w:val="001A703B"/>
    <w:rsid w:val="001B0C3D"/>
    <w:rsid w:val="001B159B"/>
    <w:rsid w:val="001B1620"/>
    <w:rsid w:val="001B1B3A"/>
    <w:rsid w:val="001B1EC7"/>
    <w:rsid w:val="001B2123"/>
    <w:rsid w:val="001B2E20"/>
    <w:rsid w:val="001B36F8"/>
    <w:rsid w:val="001B624B"/>
    <w:rsid w:val="001C099B"/>
    <w:rsid w:val="001C2D93"/>
    <w:rsid w:val="001C3BBA"/>
    <w:rsid w:val="001C6F21"/>
    <w:rsid w:val="001C7BC2"/>
    <w:rsid w:val="001D0240"/>
    <w:rsid w:val="001D051F"/>
    <w:rsid w:val="001D0759"/>
    <w:rsid w:val="001D3811"/>
    <w:rsid w:val="001D4728"/>
    <w:rsid w:val="001D63C1"/>
    <w:rsid w:val="001E008E"/>
    <w:rsid w:val="001E0B5B"/>
    <w:rsid w:val="001E1134"/>
    <w:rsid w:val="001E76A9"/>
    <w:rsid w:val="001F5658"/>
    <w:rsid w:val="001F70E2"/>
    <w:rsid w:val="00205DF6"/>
    <w:rsid w:val="00205F8E"/>
    <w:rsid w:val="00207541"/>
    <w:rsid w:val="00207596"/>
    <w:rsid w:val="002162F8"/>
    <w:rsid w:val="002217B4"/>
    <w:rsid w:val="00230057"/>
    <w:rsid w:val="00241706"/>
    <w:rsid w:val="002424FF"/>
    <w:rsid w:val="00244F6A"/>
    <w:rsid w:val="00245257"/>
    <w:rsid w:val="002500D0"/>
    <w:rsid w:val="0025012E"/>
    <w:rsid w:val="00255F0A"/>
    <w:rsid w:val="00256BFC"/>
    <w:rsid w:val="002576F2"/>
    <w:rsid w:val="00260902"/>
    <w:rsid w:val="00260FB4"/>
    <w:rsid w:val="00262FFA"/>
    <w:rsid w:val="00264BDF"/>
    <w:rsid w:val="00266E71"/>
    <w:rsid w:val="002742EE"/>
    <w:rsid w:val="002804CE"/>
    <w:rsid w:val="00283532"/>
    <w:rsid w:val="00283707"/>
    <w:rsid w:val="002845A7"/>
    <w:rsid w:val="00287B8D"/>
    <w:rsid w:val="002902B9"/>
    <w:rsid w:val="00291786"/>
    <w:rsid w:val="00293348"/>
    <w:rsid w:val="0029388D"/>
    <w:rsid w:val="0029478C"/>
    <w:rsid w:val="00296171"/>
    <w:rsid w:val="002A30DB"/>
    <w:rsid w:val="002A5D6B"/>
    <w:rsid w:val="002B037E"/>
    <w:rsid w:val="002B2E77"/>
    <w:rsid w:val="002B3546"/>
    <w:rsid w:val="002B57F0"/>
    <w:rsid w:val="002B6729"/>
    <w:rsid w:val="002C343D"/>
    <w:rsid w:val="002C481C"/>
    <w:rsid w:val="002D0EEA"/>
    <w:rsid w:val="002D20C0"/>
    <w:rsid w:val="002D40A4"/>
    <w:rsid w:val="002D43BB"/>
    <w:rsid w:val="002D6DA9"/>
    <w:rsid w:val="002D79FA"/>
    <w:rsid w:val="002E0ABA"/>
    <w:rsid w:val="002E3A79"/>
    <w:rsid w:val="002F6257"/>
    <w:rsid w:val="002F64B5"/>
    <w:rsid w:val="003009A5"/>
    <w:rsid w:val="00314B41"/>
    <w:rsid w:val="00315EF0"/>
    <w:rsid w:val="003214D1"/>
    <w:rsid w:val="003216E0"/>
    <w:rsid w:val="00321A89"/>
    <w:rsid w:val="00323D33"/>
    <w:rsid w:val="00325002"/>
    <w:rsid w:val="00331346"/>
    <w:rsid w:val="00332949"/>
    <w:rsid w:val="003362EB"/>
    <w:rsid w:val="0033638B"/>
    <w:rsid w:val="00340BCE"/>
    <w:rsid w:val="00340D26"/>
    <w:rsid w:val="0034289C"/>
    <w:rsid w:val="00343629"/>
    <w:rsid w:val="00350063"/>
    <w:rsid w:val="00351494"/>
    <w:rsid w:val="0035424A"/>
    <w:rsid w:val="00355044"/>
    <w:rsid w:val="00355ABE"/>
    <w:rsid w:val="00362F3B"/>
    <w:rsid w:val="00363577"/>
    <w:rsid w:val="00366AB8"/>
    <w:rsid w:val="00382105"/>
    <w:rsid w:val="0038329C"/>
    <w:rsid w:val="00386F50"/>
    <w:rsid w:val="00387099"/>
    <w:rsid w:val="003907A8"/>
    <w:rsid w:val="0039464A"/>
    <w:rsid w:val="0039588C"/>
    <w:rsid w:val="0039738E"/>
    <w:rsid w:val="003A012C"/>
    <w:rsid w:val="003A0390"/>
    <w:rsid w:val="003B0F05"/>
    <w:rsid w:val="003B2922"/>
    <w:rsid w:val="003B4796"/>
    <w:rsid w:val="003C0419"/>
    <w:rsid w:val="003C0B13"/>
    <w:rsid w:val="003C2830"/>
    <w:rsid w:val="003C5BD8"/>
    <w:rsid w:val="003C7506"/>
    <w:rsid w:val="003D3F92"/>
    <w:rsid w:val="003E3336"/>
    <w:rsid w:val="003E3D8D"/>
    <w:rsid w:val="003E4EB7"/>
    <w:rsid w:val="003E53E6"/>
    <w:rsid w:val="003E6133"/>
    <w:rsid w:val="003E75F5"/>
    <w:rsid w:val="003F1061"/>
    <w:rsid w:val="003F14E0"/>
    <w:rsid w:val="003F60AF"/>
    <w:rsid w:val="004000B3"/>
    <w:rsid w:val="00400A2E"/>
    <w:rsid w:val="00403D87"/>
    <w:rsid w:val="00404129"/>
    <w:rsid w:val="0040494C"/>
    <w:rsid w:val="004052F4"/>
    <w:rsid w:val="004054D3"/>
    <w:rsid w:val="00410A8D"/>
    <w:rsid w:val="004142B0"/>
    <w:rsid w:val="0041454F"/>
    <w:rsid w:val="004147F2"/>
    <w:rsid w:val="0041506D"/>
    <w:rsid w:val="00417D60"/>
    <w:rsid w:val="00421B57"/>
    <w:rsid w:val="00422609"/>
    <w:rsid w:val="00423CEA"/>
    <w:rsid w:val="00424F16"/>
    <w:rsid w:val="00426EA5"/>
    <w:rsid w:val="00427E2F"/>
    <w:rsid w:val="00431380"/>
    <w:rsid w:val="00436176"/>
    <w:rsid w:val="00436D42"/>
    <w:rsid w:val="00440303"/>
    <w:rsid w:val="00442B3E"/>
    <w:rsid w:val="004456A9"/>
    <w:rsid w:val="00446569"/>
    <w:rsid w:val="004504C9"/>
    <w:rsid w:val="004523F4"/>
    <w:rsid w:val="00456A24"/>
    <w:rsid w:val="00457C6E"/>
    <w:rsid w:val="00461019"/>
    <w:rsid w:val="0046275D"/>
    <w:rsid w:val="00464CA3"/>
    <w:rsid w:val="0046551E"/>
    <w:rsid w:val="00470C65"/>
    <w:rsid w:val="00476823"/>
    <w:rsid w:val="00476C2A"/>
    <w:rsid w:val="00477E3E"/>
    <w:rsid w:val="00480C10"/>
    <w:rsid w:val="00481F55"/>
    <w:rsid w:val="00483468"/>
    <w:rsid w:val="00483DE7"/>
    <w:rsid w:val="00491882"/>
    <w:rsid w:val="0049213F"/>
    <w:rsid w:val="004925DF"/>
    <w:rsid w:val="0049613A"/>
    <w:rsid w:val="004A2F97"/>
    <w:rsid w:val="004A3081"/>
    <w:rsid w:val="004A488A"/>
    <w:rsid w:val="004A772F"/>
    <w:rsid w:val="004B4584"/>
    <w:rsid w:val="004B49AA"/>
    <w:rsid w:val="004C0ECA"/>
    <w:rsid w:val="004C5F77"/>
    <w:rsid w:val="004D1F1C"/>
    <w:rsid w:val="004D3F76"/>
    <w:rsid w:val="004D4F96"/>
    <w:rsid w:val="004D634E"/>
    <w:rsid w:val="004E26B2"/>
    <w:rsid w:val="004E5162"/>
    <w:rsid w:val="004E7551"/>
    <w:rsid w:val="004F25FD"/>
    <w:rsid w:val="004F53B6"/>
    <w:rsid w:val="004F622E"/>
    <w:rsid w:val="00500B75"/>
    <w:rsid w:val="00501346"/>
    <w:rsid w:val="00505979"/>
    <w:rsid w:val="00510555"/>
    <w:rsid w:val="0051062E"/>
    <w:rsid w:val="0051448E"/>
    <w:rsid w:val="00517C94"/>
    <w:rsid w:val="00517F9D"/>
    <w:rsid w:val="00520E7B"/>
    <w:rsid w:val="00520F4B"/>
    <w:rsid w:val="00521317"/>
    <w:rsid w:val="00524FF3"/>
    <w:rsid w:val="00527F03"/>
    <w:rsid w:val="00527F8A"/>
    <w:rsid w:val="005328B5"/>
    <w:rsid w:val="00537332"/>
    <w:rsid w:val="005446A1"/>
    <w:rsid w:val="0054719B"/>
    <w:rsid w:val="005504F9"/>
    <w:rsid w:val="005507C5"/>
    <w:rsid w:val="0055738F"/>
    <w:rsid w:val="00557D4B"/>
    <w:rsid w:val="00560F08"/>
    <w:rsid w:val="0056101D"/>
    <w:rsid w:val="0056568B"/>
    <w:rsid w:val="00572FDD"/>
    <w:rsid w:val="0057366E"/>
    <w:rsid w:val="005744CD"/>
    <w:rsid w:val="00575054"/>
    <w:rsid w:val="005778BD"/>
    <w:rsid w:val="00582CAB"/>
    <w:rsid w:val="00586156"/>
    <w:rsid w:val="005864D9"/>
    <w:rsid w:val="0059466F"/>
    <w:rsid w:val="00595973"/>
    <w:rsid w:val="00597070"/>
    <w:rsid w:val="005A312F"/>
    <w:rsid w:val="005A3335"/>
    <w:rsid w:val="005A65BE"/>
    <w:rsid w:val="005A6DE2"/>
    <w:rsid w:val="005A74A0"/>
    <w:rsid w:val="005A74CD"/>
    <w:rsid w:val="005B0A3D"/>
    <w:rsid w:val="005B5084"/>
    <w:rsid w:val="005B738C"/>
    <w:rsid w:val="005C2E12"/>
    <w:rsid w:val="005C4F4B"/>
    <w:rsid w:val="005D201C"/>
    <w:rsid w:val="005D3E25"/>
    <w:rsid w:val="005D5534"/>
    <w:rsid w:val="005D6B6E"/>
    <w:rsid w:val="005E3C63"/>
    <w:rsid w:val="005E4F72"/>
    <w:rsid w:val="005E55F7"/>
    <w:rsid w:val="005E6C8C"/>
    <w:rsid w:val="005F1605"/>
    <w:rsid w:val="005F3A25"/>
    <w:rsid w:val="00600B37"/>
    <w:rsid w:val="00601F79"/>
    <w:rsid w:val="00610DC9"/>
    <w:rsid w:val="00612769"/>
    <w:rsid w:val="00620296"/>
    <w:rsid w:val="006209CD"/>
    <w:rsid w:val="00623263"/>
    <w:rsid w:val="00632162"/>
    <w:rsid w:val="00635308"/>
    <w:rsid w:val="00640363"/>
    <w:rsid w:val="0064384F"/>
    <w:rsid w:val="006438A3"/>
    <w:rsid w:val="00647D8A"/>
    <w:rsid w:val="00651E33"/>
    <w:rsid w:val="006530FE"/>
    <w:rsid w:val="00662A01"/>
    <w:rsid w:val="00667A31"/>
    <w:rsid w:val="00674409"/>
    <w:rsid w:val="00674A20"/>
    <w:rsid w:val="006805FD"/>
    <w:rsid w:val="006807E3"/>
    <w:rsid w:val="006813FA"/>
    <w:rsid w:val="00682E89"/>
    <w:rsid w:val="00683D31"/>
    <w:rsid w:val="006915FF"/>
    <w:rsid w:val="00694ED0"/>
    <w:rsid w:val="00696FB8"/>
    <w:rsid w:val="006A307F"/>
    <w:rsid w:val="006A4AFA"/>
    <w:rsid w:val="006A712D"/>
    <w:rsid w:val="006B0A8C"/>
    <w:rsid w:val="006B2436"/>
    <w:rsid w:val="006B3A59"/>
    <w:rsid w:val="006B5889"/>
    <w:rsid w:val="006B79E3"/>
    <w:rsid w:val="006C1D96"/>
    <w:rsid w:val="006C5ED9"/>
    <w:rsid w:val="006D7A22"/>
    <w:rsid w:val="006E030C"/>
    <w:rsid w:val="006E175E"/>
    <w:rsid w:val="006E254E"/>
    <w:rsid w:val="006E7B65"/>
    <w:rsid w:val="006F61A7"/>
    <w:rsid w:val="00702EB8"/>
    <w:rsid w:val="007067A8"/>
    <w:rsid w:val="00710096"/>
    <w:rsid w:val="00712BC8"/>
    <w:rsid w:val="007130B5"/>
    <w:rsid w:val="00714746"/>
    <w:rsid w:val="007165F3"/>
    <w:rsid w:val="00717CCC"/>
    <w:rsid w:val="00722924"/>
    <w:rsid w:val="007331DA"/>
    <w:rsid w:val="00733D15"/>
    <w:rsid w:val="00735119"/>
    <w:rsid w:val="007366C0"/>
    <w:rsid w:val="00737E91"/>
    <w:rsid w:val="007425C0"/>
    <w:rsid w:val="00743D60"/>
    <w:rsid w:val="00745B50"/>
    <w:rsid w:val="00745BCD"/>
    <w:rsid w:val="00750465"/>
    <w:rsid w:val="00752B44"/>
    <w:rsid w:val="007535E7"/>
    <w:rsid w:val="0075364E"/>
    <w:rsid w:val="0075535C"/>
    <w:rsid w:val="0075604E"/>
    <w:rsid w:val="007575DD"/>
    <w:rsid w:val="00757E09"/>
    <w:rsid w:val="00762A70"/>
    <w:rsid w:val="00762AA8"/>
    <w:rsid w:val="00764301"/>
    <w:rsid w:val="007647D7"/>
    <w:rsid w:val="00784C01"/>
    <w:rsid w:val="00784DC8"/>
    <w:rsid w:val="00790093"/>
    <w:rsid w:val="0079416A"/>
    <w:rsid w:val="00794448"/>
    <w:rsid w:val="0079447F"/>
    <w:rsid w:val="0079595B"/>
    <w:rsid w:val="00796340"/>
    <w:rsid w:val="007A0393"/>
    <w:rsid w:val="007B62B2"/>
    <w:rsid w:val="007C0C7E"/>
    <w:rsid w:val="007C1101"/>
    <w:rsid w:val="007C370A"/>
    <w:rsid w:val="007C3908"/>
    <w:rsid w:val="007C475C"/>
    <w:rsid w:val="007D168D"/>
    <w:rsid w:val="007D38E7"/>
    <w:rsid w:val="007D4525"/>
    <w:rsid w:val="007D461B"/>
    <w:rsid w:val="007E1D59"/>
    <w:rsid w:val="007E24D6"/>
    <w:rsid w:val="007E6B5F"/>
    <w:rsid w:val="007E7769"/>
    <w:rsid w:val="007F635A"/>
    <w:rsid w:val="007F6421"/>
    <w:rsid w:val="007F72E4"/>
    <w:rsid w:val="0080168D"/>
    <w:rsid w:val="008019C7"/>
    <w:rsid w:val="00801FF0"/>
    <w:rsid w:val="00810180"/>
    <w:rsid w:val="00810FE0"/>
    <w:rsid w:val="00814286"/>
    <w:rsid w:val="00820856"/>
    <w:rsid w:val="008208F6"/>
    <w:rsid w:val="00820A4A"/>
    <w:rsid w:val="00821964"/>
    <w:rsid w:val="008221BA"/>
    <w:rsid w:val="008260B0"/>
    <w:rsid w:val="008319A5"/>
    <w:rsid w:val="0083283A"/>
    <w:rsid w:val="00835C35"/>
    <w:rsid w:val="00844952"/>
    <w:rsid w:val="00850096"/>
    <w:rsid w:val="008539A0"/>
    <w:rsid w:val="0085676B"/>
    <w:rsid w:val="008569C8"/>
    <w:rsid w:val="008639B9"/>
    <w:rsid w:val="0086481F"/>
    <w:rsid w:val="00866ACC"/>
    <w:rsid w:val="00866F78"/>
    <w:rsid w:val="00867677"/>
    <w:rsid w:val="00872DC9"/>
    <w:rsid w:val="00873CD1"/>
    <w:rsid w:val="00874392"/>
    <w:rsid w:val="008744D8"/>
    <w:rsid w:val="00874DDA"/>
    <w:rsid w:val="0088116B"/>
    <w:rsid w:val="00887229"/>
    <w:rsid w:val="0089184B"/>
    <w:rsid w:val="0089235F"/>
    <w:rsid w:val="008928DE"/>
    <w:rsid w:val="00893CDD"/>
    <w:rsid w:val="00893F41"/>
    <w:rsid w:val="008A0F3C"/>
    <w:rsid w:val="008A385C"/>
    <w:rsid w:val="008A43E0"/>
    <w:rsid w:val="008B06FC"/>
    <w:rsid w:val="008B340A"/>
    <w:rsid w:val="008B3FAF"/>
    <w:rsid w:val="008B5CE3"/>
    <w:rsid w:val="008B632A"/>
    <w:rsid w:val="008B6A31"/>
    <w:rsid w:val="008B7A41"/>
    <w:rsid w:val="008B7F3F"/>
    <w:rsid w:val="008C075D"/>
    <w:rsid w:val="008C0D11"/>
    <w:rsid w:val="008C336F"/>
    <w:rsid w:val="008C6866"/>
    <w:rsid w:val="008C6B2A"/>
    <w:rsid w:val="008C724C"/>
    <w:rsid w:val="008D022D"/>
    <w:rsid w:val="008D58EC"/>
    <w:rsid w:val="008D60F7"/>
    <w:rsid w:val="008E469A"/>
    <w:rsid w:val="008F135D"/>
    <w:rsid w:val="008F345D"/>
    <w:rsid w:val="008F3E1A"/>
    <w:rsid w:val="00900B1E"/>
    <w:rsid w:val="00900DDD"/>
    <w:rsid w:val="00901E73"/>
    <w:rsid w:val="00904028"/>
    <w:rsid w:val="00905BDA"/>
    <w:rsid w:val="00905CEA"/>
    <w:rsid w:val="00910683"/>
    <w:rsid w:val="00911E51"/>
    <w:rsid w:val="009227A4"/>
    <w:rsid w:val="0092732D"/>
    <w:rsid w:val="00927AA0"/>
    <w:rsid w:val="00930937"/>
    <w:rsid w:val="00932470"/>
    <w:rsid w:val="00933FE6"/>
    <w:rsid w:val="00935E08"/>
    <w:rsid w:val="0094102A"/>
    <w:rsid w:val="009423AD"/>
    <w:rsid w:val="0094584E"/>
    <w:rsid w:val="009467F5"/>
    <w:rsid w:val="00946B91"/>
    <w:rsid w:val="00946ECC"/>
    <w:rsid w:val="00952795"/>
    <w:rsid w:val="00953207"/>
    <w:rsid w:val="00954101"/>
    <w:rsid w:val="009541E0"/>
    <w:rsid w:val="0095520E"/>
    <w:rsid w:val="00963807"/>
    <w:rsid w:val="00965F9D"/>
    <w:rsid w:val="00972BE8"/>
    <w:rsid w:val="00975017"/>
    <w:rsid w:val="00977172"/>
    <w:rsid w:val="00980734"/>
    <w:rsid w:val="00983CCC"/>
    <w:rsid w:val="00983EFA"/>
    <w:rsid w:val="0099393C"/>
    <w:rsid w:val="009A0514"/>
    <w:rsid w:val="009A3F14"/>
    <w:rsid w:val="009A63A0"/>
    <w:rsid w:val="009A6EF5"/>
    <w:rsid w:val="009A7E38"/>
    <w:rsid w:val="009B02BB"/>
    <w:rsid w:val="009B2ADD"/>
    <w:rsid w:val="009B35DE"/>
    <w:rsid w:val="009B4B23"/>
    <w:rsid w:val="009B5D79"/>
    <w:rsid w:val="009B6873"/>
    <w:rsid w:val="009C1283"/>
    <w:rsid w:val="009C1D18"/>
    <w:rsid w:val="009D25C6"/>
    <w:rsid w:val="009D44D5"/>
    <w:rsid w:val="009D4D12"/>
    <w:rsid w:val="009D5294"/>
    <w:rsid w:val="009E2C20"/>
    <w:rsid w:val="009F0072"/>
    <w:rsid w:val="009F10B9"/>
    <w:rsid w:val="009F4BFB"/>
    <w:rsid w:val="00A02592"/>
    <w:rsid w:val="00A060DA"/>
    <w:rsid w:val="00A06549"/>
    <w:rsid w:val="00A06A6D"/>
    <w:rsid w:val="00A06BA2"/>
    <w:rsid w:val="00A06D2F"/>
    <w:rsid w:val="00A06DC4"/>
    <w:rsid w:val="00A168C0"/>
    <w:rsid w:val="00A23580"/>
    <w:rsid w:val="00A238B6"/>
    <w:rsid w:val="00A24B69"/>
    <w:rsid w:val="00A27BA8"/>
    <w:rsid w:val="00A30C68"/>
    <w:rsid w:val="00A33AC8"/>
    <w:rsid w:val="00A34ED4"/>
    <w:rsid w:val="00A40DBD"/>
    <w:rsid w:val="00A450A0"/>
    <w:rsid w:val="00A45641"/>
    <w:rsid w:val="00A45914"/>
    <w:rsid w:val="00A5043D"/>
    <w:rsid w:val="00A52349"/>
    <w:rsid w:val="00A52F69"/>
    <w:rsid w:val="00A544C8"/>
    <w:rsid w:val="00A54682"/>
    <w:rsid w:val="00A553CA"/>
    <w:rsid w:val="00A60902"/>
    <w:rsid w:val="00A624A4"/>
    <w:rsid w:val="00A64E9E"/>
    <w:rsid w:val="00A65F7B"/>
    <w:rsid w:val="00A70500"/>
    <w:rsid w:val="00A7558E"/>
    <w:rsid w:val="00A75C87"/>
    <w:rsid w:val="00A770E6"/>
    <w:rsid w:val="00A8319B"/>
    <w:rsid w:val="00A833C0"/>
    <w:rsid w:val="00A85EE4"/>
    <w:rsid w:val="00A86E0F"/>
    <w:rsid w:val="00A91281"/>
    <w:rsid w:val="00A9229B"/>
    <w:rsid w:val="00A92AC2"/>
    <w:rsid w:val="00A93ED9"/>
    <w:rsid w:val="00A9498E"/>
    <w:rsid w:val="00AA0C73"/>
    <w:rsid w:val="00AA43FE"/>
    <w:rsid w:val="00AA6350"/>
    <w:rsid w:val="00AA685A"/>
    <w:rsid w:val="00AB0159"/>
    <w:rsid w:val="00AB16E1"/>
    <w:rsid w:val="00AB425B"/>
    <w:rsid w:val="00AB6DBE"/>
    <w:rsid w:val="00AC0FBA"/>
    <w:rsid w:val="00AC15EF"/>
    <w:rsid w:val="00AC1F3F"/>
    <w:rsid w:val="00AC2E25"/>
    <w:rsid w:val="00AD0869"/>
    <w:rsid w:val="00AD2460"/>
    <w:rsid w:val="00AD444A"/>
    <w:rsid w:val="00AD50E2"/>
    <w:rsid w:val="00AD7F52"/>
    <w:rsid w:val="00AE187B"/>
    <w:rsid w:val="00AE6490"/>
    <w:rsid w:val="00AE7EB7"/>
    <w:rsid w:val="00AF1253"/>
    <w:rsid w:val="00AF71CE"/>
    <w:rsid w:val="00B00EDB"/>
    <w:rsid w:val="00B01592"/>
    <w:rsid w:val="00B01FC2"/>
    <w:rsid w:val="00B06C22"/>
    <w:rsid w:val="00B06E32"/>
    <w:rsid w:val="00B07575"/>
    <w:rsid w:val="00B07B9D"/>
    <w:rsid w:val="00B14AC9"/>
    <w:rsid w:val="00B16A2A"/>
    <w:rsid w:val="00B17212"/>
    <w:rsid w:val="00B17547"/>
    <w:rsid w:val="00B25FEE"/>
    <w:rsid w:val="00B25FF6"/>
    <w:rsid w:val="00B30767"/>
    <w:rsid w:val="00B31932"/>
    <w:rsid w:val="00B32506"/>
    <w:rsid w:val="00B339A0"/>
    <w:rsid w:val="00B34CFC"/>
    <w:rsid w:val="00B3722A"/>
    <w:rsid w:val="00B40DA9"/>
    <w:rsid w:val="00B42AB1"/>
    <w:rsid w:val="00B44059"/>
    <w:rsid w:val="00B46110"/>
    <w:rsid w:val="00B4627F"/>
    <w:rsid w:val="00B50E38"/>
    <w:rsid w:val="00B517F2"/>
    <w:rsid w:val="00B53A01"/>
    <w:rsid w:val="00B54CD3"/>
    <w:rsid w:val="00B563DD"/>
    <w:rsid w:val="00B60449"/>
    <w:rsid w:val="00B64F64"/>
    <w:rsid w:val="00B66A8B"/>
    <w:rsid w:val="00B67771"/>
    <w:rsid w:val="00B677BA"/>
    <w:rsid w:val="00B71340"/>
    <w:rsid w:val="00B73FDF"/>
    <w:rsid w:val="00B80622"/>
    <w:rsid w:val="00B822DC"/>
    <w:rsid w:val="00B82E59"/>
    <w:rsid w:val="00B8470E"/>
    <w:rsid w:val="00B84F3B"/>
    <w:rsid w:val="00B86860"/>
    <w:rsid w:val="00B96062"/>
    <w:rsid w:val="00BA11DA"/>
    <w:rsid w:val="00BA219C"/>
    <w:rsid w:val="00BA2B73"/>
    <w:rsid w:val="00BA2E5A"/>
    <w:rsid w:val="00BA3BB8"/>
    <w:rsid w:val="00BA6CD3"/>
    <w:rsid w:val="00BA7766"/>
    <w:rsid w:val="00BA77E3"/>
    <w:rsid w:val="00BB3434"/>
    <w:rsid w:val="00BB4DA5"/>
    <w:rsid w:val="00BC0D0A"/>
    <w:rsid w:val="00BC2BDF"/>
    <w:rsid w:val="00BC2C76"/>
    <w:rsid w:val="00BC3A60"/>
    <w:rsid w:val="00BC54A0"/>
    <w:rsid w:val="00BD0F8A"/>
    <w:rsid w:val="00BD52C2"/>
    <w:rsid w:val="00BE1144"/>
    <w:rsid w:val="00BE7E96"/>
    <w:rsid w:val="00BF27FB"/>
    <w:rsid w:val="00BF39D2"/>
    <w:rsid w:val="00BF66DB"/>
    <w:rsid w:val="00C0511A"/>
    <w:rsid w:val="00C05451"/>
    <w:rsid w:val="00C056B0"/>
    <w:rsid w:val="00C05C78"/>
    <w:rsid w:val="00C07A6B"/>
    <w:rsid w:val="00C15973"/>
    <w:rsid w:val="00C16784"/>
    <w:rsid w:val="00C23CDB"/>
    <w:rsid w:val="00C24B05"/>
    <w:rsid w:val="00C262A2"/>
    <w:rsid w:val="00C27042"/>
    <w:rsid w:val="00C30A2F"/>
    <w:rsid w:val="00C32B82"/>
    <w:rsid w:val="00C33EA5"/>
    <w:rsid w:val="00C36A53"/>
    <w:rsid w:val="00C4411B"/>
    <w:rsid w:val="00C44D15"/>
    <w:rsid w:val="00C51EDA"/>
    <w:rsid w:val="00C55A89"/>
    <w:rsid w:val="00C56CEA"/>
    <w:rsid w:val="00C57A08"/>
    <w:rsid w:val="00C6283C"/>
    <w:rsid w:val="00C65431"/>
    <w:rsid w:val="00C672BE"/>
    <w:rsid w:val="00C70EAA"/>
    <w:rsid w:val="00C724DF"/>
    <w:rsid w:val="00C7266E"/>
    <w:rsid w:val="00C74923"/>
    <w:rsid w:val="00C74C69"/>
    <w:rsid w:val="00C75552"/>
    <w:rsid w:val="00C76404"/>
    <w:rsid w:val="00C778FF"/>
    <w:rsid w:val="00C80DB7"/>
    <w:rsid w:val="00C84CE5"/>
    <w:rsid w:val="00C90D68"/>
    <w:rsid w:val="00C939E4"/>
    <w:rsid w:val="00C94E0B"/>
    <w:rsid w:val="00CB2165"/>
    <w:rsid w:val="00CB3036"/>
    <w:rsid w:val="00CB37F3"/>
    <w:rsid w:val="00CB704C"/>
    <w:rsid w:val="00CC10E9"/>
    <w:rsid w:val="00CC4D26"/>
    <w:rsid w:val="00CD37DE"/>
    <w:rsid w:val="00CD4191"/>
    <w:rsid w:val="00CD471E"/>
    <w:rsid w:val="00CD637C"/>
    <w:rsid w:val="00CD6583"/>
    <w:rsid w:val="00CE04F7"/>
    <w:rsid w:val="00CE4642"/>
    <w:rsid w:val="00CE6983"/>
    <w:rsid w:val="00CF45DD"/>
    <w:rsid w:val="00CF6345"/>
    <w:rsid w:val="00CF7625"/>
    <w:rsid w:val="00D03AD4"/>
    <w:rsid w:val="00D047DA"/>
    <w:rsid w:val="00D04BEA"/>
    <w:rsid w:val="00D05C13"/>
    <w:rsid w:val="00D06194"/>
    <w:rsid w:val="00D0651D"/>
    <w:rsid w:val="00D10724"/>
    <w:rsid w:val="00D14140"/>
    <w:rsid w:val="00D15E27"/>
    <w:rsid w:val="00D161D7"/>
    <w:rsid w:val="00D201DA"/>
    <w:rsid w:val="00D24C0A"/>
    <w:rsid w:val="00D26187"/>
    <w:rsid w:val="00D2656E"/>
    <w:rsid w:val="00D3097D"/>
    <w:rsid w:val="00D31AEF"/>
    <w:rsid w:val="00D40150"/>
    <w:rsid w:val="00D4085B"/>
    <w:rsid w:val="00D4198A"/>
    <w:rsid w:val="00D434AA"/>
    <w:rsid w:val="00D435C2"/>
    <w:rsid w:val="00D43F0A"/>
    <w:rsid w:val="00D53702"/>
    <w:rsid w:val="00D56416"/>
    <w:rsid w:val="00D57B76"/>
    <w:rsid w:val="00D6066F"/>
    <w:rsid w:val="00D60EF1"/>
    <w:rsid w:val="00D61DA9"/>
    <w:rsid w:val="00D62A52"/>
    <w:rsid w:val="00D64B19"/>
    <w:rsid w:val="00D65537"/>
    <w:rsid w:val="00D70902"/>
    <w:rsid w:val="00D75223"/>
    <w:rsid w:val="00D76286"/>
    <w:rsid w:val="00D82162"/>
    <w:rsid w:val="00D8305F"/>
    <w:rsid w:val="00D87DDE"/>
    <w:rsid w:val="00D90AFC"/>
    <w:rsid w:val="00D90D15"/>
    <w:rsid w:val="00D95F0C"/>
    <w:rsid w:val="00D96190"/>
    <w:rsid w:val="00DA3BF2"/>
    <w:rsid w:val="00DA49A8"/>
    <w:rsid w:val="00DA7FFB"/>
    <w:rsid w:val="00DB26F6"/>
    <w:rsid w:val="00DC6CBC"/>
    <w:rsid w:val="00DC6F4D"/>
    <w:rsid w:val="00DD7CCC"/>
    <w:rsid w:val="00DE1F14"/>
    <w:rsid w:val="00DE20C2"/>
    <w:rsid w:val="00DE4963"/>
    <w:rsid w:val="00DE5EF4"/>
    <w:rsid w:val="00DE72C9"/>
    <w:rsid w:val="00DF3E88"/>
    <w:rsid w:val="00DF469B"/>
    <w:rsid w:val="00E02AC2"/>
    <w:rsid w:val="00E030A6"/>
    <w:rsid w:val="00E03FCE"/>
    <w:rsid w:val="00E06B08"/>
    <w:rsid w:val="00E071AF"/>
    <w:rsid w:val="00E07417"/>
    <w:rsid w:val="00E15ED1"/>
    <w:rsid w:val="00E1694B"/>
    <w:rsid w:val="00E179BC"/>
    <w:rsid w:val="00E17F89"/>
    <w:rsid w:val="00E20391"/>
    <w:rsid w:val="00E2389A"/>
    <w:rsid w:val="00E251FD"/>
    <w:rsid w:val="00E26E6A"/>
    <w:rsid w:val="00E3117A"/>
    <w:rsid w:val="00E31684"/>
    <w:rsid w:val="00E31BC4"/>
    <w:rsid w:val="00E32DDA"/>
    <w:rsid w:val="00E32EE8"/>
    <w:rsid w:val="00E357FC"/>
    <w:rsid w:val="00E37D8F"/>
    <w:rsid w:val="00E45CA6"/>
    <w:rsid w:val="00E4711B"/>
    <w:rsid w:val="00E537D5"/>
    <w:rsid w:val="00E5486D"/>
    <w:rsid w:val="00E571C2"/>
    <w:rsid w:val="00E605EA"/>
    <w:rsid w:val="00E64FFE"/>
    <w:rsid w:val="00E670D8"/>
    <w:rsid w:val="00E74900"/>
    <w:rsid w:val="00E74BCC"/>
    <w:rsid w:val="00E836D1"/>
    <w:rsid w:val="00E85198"/>
    <w:rsid w:val="00E860F3"/>
    <w:rsid w:val="00E958B0"/>
    <w:rsid w:val="00E958E3"/>
    <w:rsid w:val="00E9595B"/>
    <w:rsid w:val="00EA0051"/>
    <w:rsid w:val="00EA2860"/>
    <w:rsid w:val="00EA2CBA"/>
    <w:rsid w:val="00EA7263"/>
    <w:rsid w:val="00EA74C5"/>
    <w:rsid w:val="00EB2E5E"/>
    <w:rsid w:val="00EB76BB"/>
    <w:rsid w:val="00EB7BC9"/>
    <w:rsid w:val="00EC2CE5"/>
    <w:rsid w:val="00EC5808"/>
    <w:rsid w:val="00EC720F"/>
    <w:rsid w:val="00ED1A12"/>
    <w:rsid w:val="00ED2BD4"/>
    <w:rsid w:val="00ED316F"/>
    <w:rsid w:val="00ED6A14"/>
    <w:rsid w:val="00EE0351"/>
    <w:rsid w:val="00EE11E6"/>
    <w:rsid w:val="00EE564D"/>
    <w:rsid w:val="00EF15B3"/>
    <w:rsid w:val="00EF38BF"/>
    <w:rsid w:val="00EF3FC9"/>
    <w:rsid w:val="00EF4C3F"/>
    <w:rsid w:val="00EF786E"/>
    <w:rsid w:val="00F00BC4"/>
    <w:rsid w:val="00F0175D"/>
    <w:rsid w:val="00F0352C"/>
    <w:rsid w:val="00F03D87"/>
    <w:rsid w:val="00F1098D"/>
    <w:rsid w:val="00F10A93"/>
    <w:rsid w:val="00F11B37"/>
    <w:rsid w:val="00F127CE"/>
    <w:rsid w:val="00F1324F"/>
    <w:rsid w:val="00F22702"/>
    <w:rsid w:val="00F2289D"/>
    <w:rsid w:val="00F26AE1"/>
    <w:rsid w:val="00F30092"/>
    <w:rsid w:val="00F31C29"/>
    <w:rsid w:val="00F321D7"/>
    <w:rsid w:val="00F34287"/>
    <w:rsid w:val="00F36DAE"/>
    <w:rsid w:val="00F43612"/>
    <w:rsid w:val="00F43A50"/>
    <w:rsid w:val="00F45DBB"/>
    <w:rsid w:val="00F460EB"/>
    <w:rsid w:val="00F46141"/>
    <w:rsid w:val="00F472FC"/>
    <w:rsid w:val="00F47E3B"/>
    <w:rsid w:val="00F50996"/>
    <w:rsid w:val="00F5209A"/>
    <w:rsid w:val="00F542EA"/>
    <w:rsid w:val="00F5785D"/>
    <w:rsid w:val="00F629D0"/>
    <w:rsid w:val="00F637C3"/>
    <w:rsid w:val="00F63972"/>
    <w:rsid w:val="00F66D3C"/>
    <w:rsid w:val="00F67F4B"/>
    <w:rsid w:val="00F731F3"/>
    <w:rsid w:val="00F83FCC"/>
    <w:rsid w:val="00F845AA"/>
    <w:rsid w:val="00F85BD3"/>
    <w:rsid w:val="00F8682C"/>
    <w:rsid w:val="00F90E18"/>
    <w:rsid w:val="00F90E1B"/>
    <w:rsid w:val="00F92013"/>
    <w:rsid w:val="00FA00E1"/>
    <w:rsid w:val="00FA0994"/>
    <w:rsid w:val="00FA10DD"/>
    <w:rsid w:val="00FA2448"/>
    <w:rsid w:val="00FA3D40"/>
    <w:rsid w:val="00FA4419"/>
    <w:rsid w:val="00FA4CAA"/>
    <w:rsid w:val="00FA693D"/>
    <w:rsid w:val="00FA76F3"/>
    <w:rsid w:val="00FA7D36"/>
    <w:rsid w:val="00FB1A4D"/>
    <w:rsid w:val="00FB5638"/>
    <w:rsid w:val="00FB59C6"/>
    <w:rsid w:val="00FB7C76"/>
    <w:rsid w:val="00FD4AD2"/>
    <w:rsid w:val="00FD7CBB"/>
    <w:rsid w:val="00FE0E3C"/>
    <w:rsid w:val="00FE44AD"/>
    <w:rsid w:val="00FF1B74"/>
    <w:rsid w:val="00FF2302"/>
    <w:rsid w:val="00FF2EA9"/>
    <w:rsid w:val="00FF3A7F"/>
    <w:rsid w:val="00FF3C1E"/>
    <w:rsid w:val="00FF51D2"/>
    <w:rsid w:val="00FF5A0C"/>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084"/>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character" w:customStyle="1" w:styleId="TALCar">
    <w:name w:val="TAL Car"/>
    <w:link w:val="TAL"/>
    <w:qFormat/>
    <w:locked/>
    <w:rsid w:val="002F6257"/>
    <w:rPr>
      <w:rFonts w:ascii="Arial" w:eastAsia="Times New Roman" w:hAnsi="Arial"/>
      <w:sz w:val="18"/>
      <w:lang w:val="en-GB" w:eastAsia="ja-JP"/>
    </w:rPr>
  </w:style>
  <w:style w:type="paragraph" w:customStyle="1" w:styleId="TAL">
    <w:name w:val="TAL"/>
    <w:basedOn w:val="Normal"/>
    <w:link w:val="TALCar"/>
    <w:qFormat/>
    <w:rsid w:val="002F6257"/>
    <w:pPr>
      <w:keepNext/>
      <w:keepLines/>
      <w:overflowPunct w:val="0"/>
      <w:autoSpaceDE w:val="0"/>
      <w:autoSpaceDN w:val="0"/>
      <w:adjustRightInd w:val="0"/>
      <w:spacing w:after="0"/>
      <w:textAlignment w:val="baseline"/>
    </w:pPr>
    <w:rPr>
      <w:rFonts w:ascii="Arial"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78003">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4638706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97081253">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901090350">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8" ma:contentTypeDescription="Create a new document." ma:contentTypeScope="" ma:versionID="cce852ffee4cc15ba790472bdef89829">
  <xsd:schema xmlns:xsd="http://www.w3.org/2001/XMLSchema" xmlns:xs="http://www.w3.org/2001/XMLSchema" xmlns:p="http://schemas.microsoft.com/office/2006/metadata/properties" xmlns:ns2="b782a749-144d-48ae-8b94-9ef0c78e12ad" targetNamespace="http://schemas.microsoft.com/office/2006/metadata/properties" ma:root="true" ma:fieldsID="4ace60d3c3a6edea1c6220c3442d4911"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53EB294C-A934-4EF8-ADF0-9A26992FC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4DF290-99E2-4123-B417-9AFD256CB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591</Words>
  <Characters>3371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23</cp:revision>
  <cp:lastPrinted>2020-02-10T06:14:00Z</cp:lastPrinted>
  <dcterms:created xsi:type="dcterms:W3CDTF">2022-04-24T05:28:00Z</dcterms:created>
  <dcterms:modified xsi:type="dcterms:W3CDTF">2022-04-24T06:20:00Z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fb26ee5c-6a6a-440f-b70c-a3a5d11e97b3</vt:lpwstr>
  </property>
</Properties>
</file>